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38"/>
        <w:gridCol w:w="6406"/>
      </w:tblGrid>
      <w:tr w:rsidR="00CE544A" w:rsidRPr="00975B07" w14:paraId="04473DCA" w14:textId="77777777" w:rsidTr="5F5A5137">
        <w:tc>
          <w:tcPr>
            <w:tcW w:w="2438" w:type="dxa"/>
          </w:tcPr>
          <w:p w14:paraId="334BE3F6" w14:textId="77777777" w:rsidR="00F445B1" w:rsidRPr="00975B07" w:rsidRDefault="00F445B1" w:rsidP="004A6D2F">
            <w:pPr>
              <w:rPr>
                <w:rStyle w:val="Firstpagetablebold"/>
              </w:rPr>
            </w:pPr>
            <w:r w:rsidRPr="00975B07">
              <w:rPr>
                <w:rStyle w:val="Firstpagetablebold"/>
              </w:rPr>
              <w:t>To</w:t>
            </w:r>
            <w:r w:rsidR="005C35A5" w:rsidRPr="00975B07">
              <w:rPr>
                <w:rStyle w:val="Firstpagetablebold"/>
              </w:rPr>
              <w:t>:</w:t>
            </w:r>
          </w:p>
        </w:tc>
        <w:tc>
          <w:tcPr>
            <w:tcW w:w="6406" w:type="dxa"/>
          </w:tcPr>
          <w:p w14:paraId="017518DB" w14:textId="651CF9EA" w:rsidR="00F445B1" w:rsidRPr="00F95BC9" w:rsidRDefault="00002509" w:rsidP="004A6D2F">
            <w:pPr>
              <w:rPr>
                <w:rStyle w:val="Firstpagetablebold"/>
              </w:rPr>
            </w:pPr>
            <w:r>
              <w:rPr>
                <w:rStyle w:val="Firstpagetablebold"/>
              </w:rPr>
              <w:t>Scrutiny Committee</w:t>
            </w:r>
          </w:p>
        </w:tc>
      </w:tr>
      <w:tr w:rsidR="00CE544A" w:rsidRPr="00975B07" w14:paraId="705FA4FB" w14:textId="77777777" w:rsidTr="5F5A5137">
        <w:tc>
          <w:tcPr>
            <w:tcW w:w="2438" w:type="dxa"/>
          </w:tcPr>
          <w:p w14:paraId="3C1A12A6" w14:textId="77777777" w:rsidR="00F445B1" w:rsidRPr="00975B07" w:rsidRDefault="00F445B1" w:rsidP="004A6D2F">
            <w:pPr>
              <w:rPr>
                <w:rStyle w:val="Firstpagetablebold"/>
              </w:rPr>
            </w:pPr>
            <w:r w:rsidRPr="00975B07">
              <w:rPr>
                <w:rStyle w:val="Firstpagetablebold"/>
              </w:rPr>
              <w:t>Dat</w:t>
            </w:r>
            <w:r w:rsidR="005C35A5" w:rsidRPr="00975B07">
              <w:rPr>
                <w:rStyle w:val="Firstpagetablebold"/>
              </w:rPr>
              <w:t>e:</w:t>
            </w:r>
          </w:p>
        </w:tc>
        <w:tc>
          <w:tcPr>
            <w:tcW w:w="6406" w:type="dxa"/>
          </w:tcPr>
          <w:p w14:paraId="4F4A4C58" w14:textId="651B7B19" w:rsidR="00F445B1" w:rsidRPr="009E30E2" w:rsidRDefault="78D6A7E8" w:rsidP="62B73EE3">
            <w:pPr>
              <w:rPr>
                <w:b/>
                <w:bCs/>
                <w:color w:val="auto"/>
              </w:rPr>
            </w:pPr>
            <w:r w:rsidRPr="5F5A5137">
              <w:rPr>
                <w:rStyle w:val="Firstpagetablebold"/>
                <w:rFonts w:cs="Arial"/>
                <w:b w:val="0"/>
                <w:color w:val="auto"/>
              </w:rPr>
              <w:t>9 September 2025</w:t>
            </w:r>
          </w:p>
        </w:tc>
      </w:tr>
      <w:tr w:rsidR="00CE544A" w:rsidRPr="00975B07" w14:paraId="7AED9E48" w14:textId="77777777" w:rsidTr="5F5A5137">
        <w:tc>
          <w:tcPr>
            <w:tcW w:w="2438" w:type="dxa"/>
          </w:tcPr>
          <w:p w14:paraId="2049294C" w14:textId="77777777" w:rsidR="00F445B1" w:rsidRPr="00975B07" w:rsidRDefault="00F445B1" w:rsidP="004A6D2F">
            <w:pPr>
              <w:rPr>
                <w:rStyle w:val="Firstpagetablebold"/>
              </w:rPr>
            </w:pPr>
            <w:r w:rsidRPr="00975B07">
              <w:rPr>
                <w:rStyle w:val="Firstpagetablebold"/>
              </w:rPr>
              <w:t>Report of</w:t>
            </w:r>
            <w:r w:rsidR="005C35A5" w:rsidRPr="00975B07">
              <w:rPr>
                <w:rStyle w:val="Firstpagetablebold"/>
              </w:rPr>
              <w:t>:</w:t>
            </w:r>
          </w:p>
        </w:tc>
        <w:tc>
          <w:tcPr>
            <w:tcW w:w="6406" w:type="dxa"/>
          </w:tcPr>
          <w:p w14:paraId="31C202AE" w14:textId="74ADBC27" w:rsidR="00F445B1" w:rsidRPr="009E30E2" w:rsidRDefault="00002509" w:rsidP="004A6D2F">
            <w:pPr>
              <w:rPr>
                <w:rStyle w:val="Firstpagetablebold"/>
                <w:color w:val="auto"/>
              </w:rPr>
            </w:pPr>
            <w:r>
              <w:rPr>
                <w:rStyle w:val="Firstpagetablebold"/>
                <w:rFonts w:cs="Arial"/>
                <w:b w:val="0"/>
                <w:color w:val="auto"/>
              </w:rPr>
              <w:t>Director of Law, Governance and Strategy</w:t>
            </w:r>
          </w:p>
        </w:tc>
      </w:tr>
      <w:tr w:rsidR="00CE544A" w:rsidRPr="00975B07" w14:paraId="312CDF01" w14:textId="77777777" w:rsidTr="5F5A5137">
        <w:tc>
          <w:tcPr>
            <w:tcW w:w="2438" w:type="dxa"/>
          </w:tcPr>
          <w:p w14:paraId="08DE1E88" w14:textId="77777777" w:rsidR="00F445B1" w:rsidRPr="00975B07" w:rsidRDefault="00F445B1" w:rsidP="004A6D2F">
            <w:pPr>
              <w:rPr>
                <w:rStyle w:val="Firstpagetablebold"/>
              </w:rPr>
            </w:pPr>
            <w:r w:rsidRPr="00975B07">
              <w:rPr>
                <w:rStyle w:val="Firstpagetablebold"/>
              </w:rPr>
              <w:t xml:space="preserve">Title of Report: </w:t>
            </w:r>
          </w:p>
        </w:tc>
        <w:tc>
          <w:tcPr>
            <w:tcW w:w="6406" w:type="dxa"/>
          </w:tcPr>
          <w:p w14:paraId="4C45E9F3" w14:textId="52457B10" w:rsidR="00F445B1" w:rsidRPr="009E30E2" w:rsidRDefault="00BB1813" w:rsidP="004A6D2F">
            <w:pPr>
              <w:rPr>
                <w:rStyle w:val="Firstpagetablebold"/>
                <w:color w:val="auto"/>
              </w:rPr>
            </w:pPr>
            <w:r>
              <w:rPr>
                <w:rStyle w:val="Firstpagetablebold"/>
                <w:rFonts w:cs="Arial"/>
                <w:b w:val="0"/>
                <w:color w:val="auto"/>
              </w:rPr>
              <w:t xml:space="preserve">Scope of Work for the </w:t>
            </w:r>
            <w:r w:rsidR="00382901">
              <w:rPr>
                <w:rStyle w:val="Firstpagetablebold"/>
                <w:rFonts w:cs="Arial"/>
                <w:b w:val="0"/>
                <w:color w:val="auto"/>
              </w:rPr>
              <w:t>Scrutiny Budget Review Group 202</w:t>
            </w:r>
            <w:r w:rsidR="00410BDC">
              <w:rPr>
                <w:rStyle w:val="Firstpagetablebold"/>
                <w:rFonts w:cs="Arial"/>
                <w:b w:val="0"/>
                <w:color w:val="auto"/>
              </w:rPr>
              <w:t>6</w:t>
            </w:r>
            <w:r w:rsidR="00382901">
              <w:rPr>
                <w:rStyle w:val="Firstpagetablebold"/>
                <w:rFonts w:cs="Arial"/>
                <w:b w:val="0"/>
                <w:color w:val="auto"/>
              </w:rPr>
              <w:t>/2</w:t>
            </w:r>
            <w:r w:rsidR="00410BDC">
              <w:rPr>
                <w:rStyle w:val="Firstpagetablebold"/>
                <w:rFonts w:cs="Arial"/>
                <w:b w:val="0"/>
                <w:color w:val="auto"/>
              </w:rPr>
              <w:t>7</w:t>
            </w:r>
          </w:p>
        </w:tc>
      </w:tr>
    </w:tbl>
    <w:p w14:paraId="2173E708" w14:textId="77777777" w:rsidR="004F20EF" w:rsidRDefault="004F20EF" w:rsidP="004A6D2F"/>
    <w:tbl>
      <w:tblPr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438"/>
        <w:gridCol w:w="6407"/>
      </w:tblGrid>
      <w:tr w:rsidR="00D5547E" w14:paraId="30A8EDD0" w14:textId="77777777" w:rsidTr="003E034D">
        <w:tc>
          <w:tcPr>
            <w:tcW w:w="8845" w:type="dxa"/>
            <w:gridSpan w:val="2"/>
            <w:tcBorders>
              <w:bottom w:val="single" w:sz="8" w:space="0" w:color="000000"/>
            </w:tcBorders>
            <w:hideMark/>
          </w:tcPr>
          <w:p w14:paraId="7672E430" w14:textId="77777777" w:rsidR="00D5547E" w:rsidRDefault="00745BF0" w:rsidP="00745BF0">
            <w:pPr>
              <w:jc w:val="center"/>
              <w:rPr>
                <w:rStyle w:val="Firstpagetablebold"/>
              </w:rPr>
            </w:pPr>
            <w:r>
              <w:rPr>
                <w:rStyle w:val="Firstpagetablebold"/>
              </w:rPr>
              <w:t>Summary and r</w:t>
            </w:r>
            <w:r w:rsidR="00D5547E">
              <w:rPr>
                <w:rStyle w:val="Firstpagetablebold"/>
              </w:rPr>
              <w:t>ecommendations</w:t>
            </w:r>
          </w:p>
        </w:tc>
      </w:tr>
      <w:tr w:rsidR="00D5547E" w14:paraId="01894138" w14:textId="77777777" w:rsidTr="003E034D"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14:paraId="5BB81F73" w14:textId="120319E8" w:rsidR="00D5547E" w:rsidRDefault="00025250">
            <w:pPr>
              <w:rPr>
                <w:rStyle w:val="Firstpagetablebold"/>
              </w:rPr>
            </w:pPr>
            <w:r>
              <w:rPr>
                <w:rStyle w:val="Firstpagetablebold"/>
              </w:rPr>
              <w:t>Decision being taken</w:t>
            </w:r>
            <w:r w:rsidR="00D5547E">
              <w:rPr>
                <w:rStyle w:val="Firstpagetablebold"/>
              </w:rPr>
              <w:t>:</w:t>
            </w:r>
          </w:p>
        </w:tc>
        <w:tc>
          <w:tcPr>
            <w:tcW w:w="640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14:paraId="419B6548" w14:textId="184447A2" w:rsidR="00D5547E" w:rsidRPr="009E30E2" w:rsidRDefault="009912C2" w:rsidP="00DB7AD7">
            <w:pPr>
              <w:rPr>
                <w:color w:val="auto"/>
              </w:rPr>
            </w:pPr>
            <w:r>
              <w:rPr>
                <w:color w:val="auto"/>
              </w:rPr>
              <w:t>T</w:t>
            </w:r>
            <w:r>
              <w:t>o agree the scope of work for the Budget Review Group 202</w:t>
            </w:r>
            <w:r w:rsidR="00410BDC">
              <w:t>6</w:t>
            </w:r>
            <w:r>
              <w:t>/2</w:t>
            </w:r>
            <w:r w:rsidR="00410BDC">
              <w:t>7</w:t>
            </w:r>
          </w:p>
        </w:tc>
      </w:tr>
      <w:tr w:rsidR="00025250" w14:paraId="43BD728D" w14:textId="77777777" w:rsidTr="003E034D">
        <w:tc>
          <w:tcPr>
            <w:tcW w:w="2438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0997AE74" w14:textId="77777777" w:rsidR="00025250" w:rsidRDefault="00025250" w:rsidP="00025250">
            <w:pPr>
              <w:rPr>
                <w:rStyle w:val="Firstpagetablebold"/>
              </w:rPr>
            </w:pPr>
            <w:r>
              <w:rPr>
                <w:rStyle w:val="Firstpagetablebold"/>
              </w:rPr>
              <w:t>Key decision:</w:t>
            </w:r>
          </w:p>
        </w:tc>
        <w:tc>
          <w:tcPr>
            <w:tcW w:w="6407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1B0C58F5" w14:textId="5DBE6DD6" w:rsidR="00025250" w:rsidRPr="009E30E2" w:rsidRDefault="009912C2" w:rsidP="00025250">
            <w:pPr>
              <w:rPr>
                <w:color w:val="auto"/>
              </w:rPr>
            </w:pPr>
            <w:r>
              <w:rPr>
                <w:rFonts w:cs="Arial"/>
                <w:color w:val="auto"/>
              </w:rPr>
              <w:t>No</w:t>
            </w:r>
            <w:r w:rsidR="00025250" w:rsidRPr="009E30E2">
              <w:rPr>
                <w:rFonts w:cs="Arial"/>
                <w:color w:val="auto"/>
              </w:rPr>
              <w:t xml:space="preserve"> </w:t>
            </w:r>
          </w:p>
        </w:tc>
      </w:tr>
      <w:tr w:rsidR="00025250" w14:paraId="10A3E36F" w14:textId="77777777" w:rsidTr="003E034D">
        <w:tc>
          <w:tcPr>
            <w:tcW w:w="2438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55E06E9D" w14:textId="767C2023" w:rsidR="00025250" w:rsidRDefault="009912C2" w:rsidP="00025250">
            <w:pPr>
              <w:rPr>
                <w:rStyle w:val="Firstpagetablebold"/>
              </w:rPr>
            </w:pPr>
            <w:r>
              <w:rPr>
                <w:rStyle w:val="Firstpagetablebold"/>
              </w:rPr>
              <w:t>Lead</w:t>
            </w:r>
            <w:r w:rsidR="00025250">
              <w:rPr>
                <w:rStyle w:val="Firstpagetablebold"/>
              </w:rPr>
              <w:t xml:space="preserve"> Member</w:t>
            </w:r>
            <w:r>
              <w:rPr>
                <w:rStyle w:val="Firstpagetablebold"/>
              </w:rPr>
              <w:t>s</w:t>
            </w:r>
            <w:r w:rsidR="00025250">
              <w:rPr>
                <w:rStyle w:val="Firstpagetablebold"/>
              </w:rPr>
              <w:t>:</w:t>
            </w:r>
          </w:p>
        </w:tc>
        <w:tc>
          <w:tcPr>
            <w:tcW w:w="6407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1B38E010" w14:textId="77777777" w:rsidR="00025250" w:rsidRDefault="00025250" w:rsidP="00025250">
            <w:pPr>
              <w:rPr>
                <w:color w:val="auto"/>
              </w:rPr>
            </w:pPr>
            <w:r w:rsidRPr="009E30E2">
              <w:rPr>
                <w:color w:val="auto"/>
              </w:rPr>
              <w:t xml:space="preserve">Councillor </w:t>
            </w:r>
            <w:r w:rsidR="009912C2">
              <w:rPr>
                <w:color w:val="auto"/>
              </w:rPr>
              <w:t>Alex Powell</w:t>
            </w:r>
            <w:r w:rsidRPr="009E30E2">
              <w:rPr>
                <w:color w:val="auto"/>
              </w:rPr>
              <w:t xml:space="preserve">, </w:t>
            </w:r>
            <w:r w:rsidR="009912C2">
              <w:rPr>
                <w:color w:val="auto"/>
              </w:rPr>
              <w:t>Chair of the Scrutiny Committee</w:t>
            </w:r>
          </w:p>
          <w:p w14:paraId="1E006809" w14:textId="7371A8B1" w:rsidR="009912C2" w:rsidRPr="009E30E2" w:rsidRDefault="009912C2" w:rsidP="00025250">
            <w:pPr>
              <w:rPr>
                <w:color w:val="auto"/>
              </w:rPr>
            </w:pPr>
            <w:r>
              <w:rPr>
                <w:color w:val="auto"/>
              </w:rPr>
              <w:t>Councillor James Fry, Chair of the Budget Review Group</w:t>
            </w:r>
          </w:p>
        </w:tc>
      </w:tr>
      <w:tr w:rsidR="00025250" w14:paraId="7B700325" w14:textId="77777777" w:rsidTr="003E034D">
        <w:tc>
          <w:tcPr>
            <w:tcW w:w="243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A58DBB5" w14:textId="77777777" w:rsidR="00025250" w:rsidRDefault="00025250" w:rsidP="00025250">
            <w:pPr>
              <w:rPr>
                <w:rStyle w:val="Firstpagetablebold"/>
              </w:rPr>
            </w:pPr>
            <w:r>
              <w:rPr>
                <w:rStyle w:val="Firstpagetablebold"/>
              </w:rPr>
              <w:t>Corporate Priority:</w:t>
            </w:r>
          </w:p>
        </w:tc>
        <w:tc>
          <w:tcPr>
            <w:tcW w:w="6407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3DF1AC69" w14:textId="32C2781C" w:rsidR="00025250" w:rsidRPr="009E30E2" w:rsidRDefault="009912C2" w:rsidP="00025250">
            <w:pPr>
              <w:rPr>
                <w:color w:val="auto"/>
              </w:rPr>
            </w:pPr>
            <w:r>
              <w:rPr>
                <w:color w:val="auto"/>
              </w:rPr>
              <w:t>A Well-Run Council</w:t>
            </w:r>
          </w:p>
        </w:tc>
      </w:tr>
      <w:tr w:rsidR="00025250" w14:paraId="63186D5F" w14:textId="77777777" w:rsidTr="003E034D">
        <w:tc>
          <w:tcPr>
            <w:tcW w:w="243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14:paraId="13359BD4" w14:textId="77777777" w:rsidR="00025250" w:rsidRDefault="00025250" w:rsidP="00025250">
            <w:pPr>
              <w:rPr>
                <w:rStyle w:val="Firstpagetablebold"/>
              </w:rPr>
            </w:pPr>
            <w:r>
              <w:rPr>
                <w:rStyle w:val="Firstpagetablebold"/>
              </w:rPr>
              <w:t>Policy Framework:</w:t>
            </w:r>
          </w:p>
        </w:tc>
        <w:tc>
          <w:tcPr>
            <w:tcW w:w="640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0AA7D163" w14:textId="776D06E8" w:rsidR="00025250" w:rsidRPr="009E30E2" w:rsidRDefault="009912C2" w:rsidP="00025250">
            <w:pPr>
              <w:rPr>
                <w:color w:val="auto"/>
              </w:rPr>
            </w:pPr>
            <w:r>
              <w:rPr>
                <w:color w:val="auto"/>
              </w:rPr>
              <w:t>None</w:t>
            </w:r>
          </w:p>
        </w:tc>
      </w:tr>
    </w:tbl>
    <w:p w14:paraId="3B28CE5F" w14:textId="77777777" w:rsidR="00CE544A" w:rsidRDefault="00CE544A" w:rsidP="004A6D2F"/>
    <w:tbl>
      <w:tblPr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426"/>
        <w:gridCol w:w="8419"/>
      </w:tblGrid>
      <w:tr w:rsidR="00025250" w:rsidRPr="00975B07" w14:paraId="75BF65A5" w14:textId="77777777" w:rsidTr="003E034D">
        <w:trPr>
          <w:trHeight w:val="413"/>
        </w:trPr>
        <w:tc>
          <w:tcPr>
            <w:tcW w:w="8845" w:type="dxa"/>
            <w:gridSpan w:val="2"/>
            <w:tcBorders>
              <w:bottom w:val="single" w:sz="8" w:space="0" w:color="000000" w:themeColor="text1"/>
            </w:tcBorders>
          </w:tcPr>
          <w:p w14:paraId="18FB24CC" w14:textId="0B13B584" w:rsidR="00025250" w:rsidRPr="00975B07" w:rsidRDefault="00025250" w:rsidP="00FC6F43">
            <w:r w:rsidRPr="62B73EE3">
              <w:rPr>
                <w:rStyle w:val="Firstpagetablebold"/>
              </w:rPr>
              <w:t>Recommendation(s):</w:t>
            </w:r>
            <w:r w:rsidR="571C62E4" w:rsidRPr="62B73EE3">
              <w:rPr>
                <w:rStyle w:val="Firstpagetablebold"/>
              </w:rPr>
              <w:t xml:space="preserve"> </w:t>
            </w:r>
            <w:r w:rsidRPr="62B73EE3">
              <w:rPr>
                <w:rStyle w:val="Firstpagetablebold"/>
                <w:b w:val="0"/>
              </w:rPr>
              <w:t xml:space="preserve">That </w:t>
            </w:r>
            <w:r w:rsidR="009912C2">
              <w:rPr>
                <w:rStyle w:val="Firstpagetablebold"/>
                <w:b w:val="0"/>
              </w:rPr>
              <w:t>the Scrutiny Committee</w:t>
            </w:r>
            <w:r w:rsidRPr="62B73EE3">
              <w:rPr>
                <w:rStyle w:val="Firstpagetablebold"/>
                <w:b w:val="0"/>
              </w:rPr>
              <w:t xml:space="preserve"> resolves to:</w:t>
            </w:r>
          </w:p>
        </w:tc>
      </w:tr>
      <w:tr w:rsidR="00025250" w:rsidRPr="00975B07" w14:paraId="128A7C0D" w14:textId="77777777" w:rsidTr="003E034D">
        <w:trPr>
          <w:trHeight w:val="283"/>
        </w:trPr>
        <w:tc>
          <w:tcPr>
            <w:tcW w:w="426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nil"/>
            </w:tcBorders>
          </w:tcPr>
          <w:p w14:paraId="4AAB6C58" w14:textId="77777777" w:rsidR="00025250" w:rsidRPr="00975B07" w:rsidRDefault="00025250" w:rsidP="00FC6F43">
            <w:r w:rsidRPr="00975B07">
              <w:t>1.</w:t>
            </w:r>
          </w:p>
        </w:tc>
        <w:tc>
          <w:tcPr>
            <w:tcW w:w="8419" w:type="dxa"/>
            <w:tcBorders>
              <w:top w:val="single" w:sz="8" w:space="0" w:color="000000" w:themeColor="text1"/>
              <w:left w:val="nil"/>
              <w:bottom w:val="nil"/>
              <w:right w:val="single" w:sz="8" w:space="0" w:color="000000" w:themeColor="text1"/>
            </w:tcBorders>
          </w:tcPr>
          <w:p w14:paraId="2D683A1F" w14:textId="38097353" w:rsidR="00025250" w:rsidRPr="001356F1" w:rsidRDefault="009912C2" w:rsidP="00FC6F43">
            <w:r>
              <w:rPr>
                <w:rStyle w:val="Firstpagetablebold"/>
              </w:rPr>
              <w:t>Agree</w:t>
            </w:r>
            <w:r w:rsidR="00025250" w:rsidRPr="001356F1">
              <w:t xml:space="preserve"> </w:t>
            </w:r>
            <w:r>
              <w:t xml:space="preserve">the scope of work for the </w:t>
            </w:r>
            <w:r w:rsidR="00344537">
              <w:t xml:space="preserve">2026/27 </w:t>
            </w:r>
            <w:r>
              <w:t xml:space="preserve">Budget Review </w:t>
            </w:r>
            <w:proofErr w:type="gramStart"/>
            <w:r>
              <w:t>Group</w:t>
            </w:r>
            <w:r w:rsidR="00BF2FDB">
              <w:t>;</w:t>
            </w:r>
            <w:proofErr w:type="gramEnd"/>
          </w:p>
        </w:tc>
      </w:tr>
      <w:tr w:rsidR="00025250" w:rsidRPr="00975B07" w14:paraId="2BFBBF69" w14:textId="77777777" w:rsidTr="00BF2FDB">
        <w:trPr>
          <w:trHeight w:val="283"/>
        </w:trPr>
        <w:tc>
          <w:tcPr>
            <w:tcW w:w="426" w:type="dxa"/>
            <w:tcBorders>
              <w:top w:val="nil"/>
              <w:left w:val="single" w:sz="8" w:space="0" w:color="000000" w:themeColor="text1"/>
              <w:bottom w:val="nil"/>
              <w:right w:val="nil"/>
            </w:tcBorders>
          </w:tcPr>
          <w:p w14:paraId="328750F8" w14:textId="5212CD5D" w:rsidR="00025250" w:rsidRPr="00975B07" w:rsidRDefault="009912C2" w:rsidP="00FC6F43">
            <w:r>
              <w:t>2.</w:t>
            </w:r>
          </w:p>
        </w:tc>
        <w:tc>
          <w:tcPr>
            <w:tcW w:w="8419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</w:tcPr>
          <w:p w14:paraId="0C3A19C8" w14:textId="45CA353A" w:rsidR="00025250" w:rsidRPr="001356F1" w:rsidRDefault="009912C2" w:rsidP="00FC6F43">
            <w:r w:rsidRPr="003C2B83">
              <w:rPr>
                <w:b/>
                <w:bCs/>
              </w:rPr>
              <w:t>Agree</w:t>
            </w:r>
            <w:r>
              <w:t xml:space="preserve"> the</w:t>
            </w:r>
            <w:r w:rsidR="00344537">
              <w:t xml:space="preserve"> </w:t>
            </w:r>
            <w:r>
              <w:t>Term</w:t>
            </w:r>
            <w:r w:rsidR="00336F50">
              <w:t>s of Reference for the Budget</w:t>
            </w:r>
            <w:r w:rsidR="00410BDC">
              <w:t xml:space="preserve"> Review Grou</w:t>
            </w:r>
            <w:r w:rsidR="00BF2FDB">
              <w:t>p;</w:t>
            </w:r>
          </w:p>
        </w:tc>
      </w:tr>
      <w:tr w:rsidR="00BF2FDB" w:rsidRPr="00975B07" w14:paraId="37605B63" w14:textId="77777777" w:rsidTr="003E034D">
        <w:trPr>
          <w:trHeight w:val="283"/>
        </w:trPr>
        <w:tc>
          <w:tcPr>
            <w:tcW w:w="426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65FB9311" w14:textId="13EAEC6C" w:rsidR="00BF2FDB" w:rsidRDefault="00BF2FDB" w:rsidP="00FC6F43">
            <w:r>
              <w:t>3.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7F45E49D" w14:textId="5279B450" w:rsidR="00BF2FDB" w:rsidRPr="00BF2FDB" w:rsidRDefault="00BF2FDB" w:rsidP="00FC6F43">
            <w:r>
              <w:rPr>
                <w:b/>
                <w:bCs/>
              </w:rPr>
              <w:t>Delegate</w:t>
            </w:r>
            <w:r>
              <w:t xml:space="preserve"> authority to the Scrutiny and Governance Advisor</w:t>
            </w:r>
            <w:r w:rsidR="007C2143">
              <w:t>, in consultation with the Scrutiny Chair and Budget Review Group Chair,</w:t>
            </w:r>
            <w:r>
              <w:t xml:space="preserve"> to </w:t>
            </w:r>
            <w:r w:rsidR="007C2143">
              <w:t>amend the scope as needed</w:t>
            </w:r>
            <w:r>
              <w:t>.</w:t>
            </w:r>
          </w:p>
        </w:tc>
      </w:tr>
    </w:tbl>
    <w:p w14:paraId="7D5A6705" w14:textId="77777777" w:rsidR="00025250" w:rsidRDefault="00025250" w:rsidP="004A6D2F"/>
    <w:tbl>
      <w:tblPr>
        <w:tblW w:w="0" w:type="auto"/>
        <w:tblInd w:w="108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2438"/>
        <w:gridCol w:w="6407"/>
      </w:tblGrid>
      <w:tr w:rsidR="00025250" w:rsidRPr="003E4C33" w14:paraId="67F8F7AF" w14:textId="77777777" w:rsidTr="003E034D">
        <w:trPr>
          <w:trHeight w:val="300"/>
        </w:trPr>
        <w:tc>
          <w:tcPr>
            <w:tcW w:w="8845" w:type="dxa"/>
            <w:gridSpan w:val="2"/>
            <w:tcBorders>
              <w:bottom w:val="single" w:sz="8" w:space="0" w:color="000000" w:themeColor="text1"/>
            </w:tcBorders>
            <w:hideMark/>
          </w:tcPr>
          <w:p w14:paraId="59493166" w14:textId="77777777" w:rsidR="00025250" w:rsidRPr="003E4C33" w:rsidRDefault="00025250" w:rsidP="00FC6F43">
            <w:pPr>
              <w:jc w:val="center"/>
              <w:rPr>
                <w:rStyle w:val="Firstpagetablebold"/>
                <w:rFonts w:cs="Arial"/>
              </w:rPr>
            </w:pPr>
            <w:r w:rsidRPr="003E4C33">
              <w:rPr>
                <w:rStyle w:val="Firstpagetablebold"/>
                <w:rFonts w:cs="Arial"/>
              </w:rPr>
              <w:t xml:space="preserve">Information Exempt </w:t>
            </w:r>
            <w:proofErr w:type="gramStart"/>
            <w:r w:rsidRPr="003E4C33">
              <w:rPr>
                <w:rStyle w:val="Firstpagetablebold"/>
                <w:rFonts w:cs="Arial"/>
              </w:rPr>
              <w:t>From</w:t>
            </w:r>
            <w:proofErr w:type="gramEnd"/>
            <w:r w:rsidRPr="003E4C33">
              <w:rPr>
                <w:rStyle w:val="Firstpagetablebold"/>
                <w:rFonts w:cs="Arial"/>
              </w:rPr>
              <w:t xml:space="preserve"> Publication </w:t>
            </w:r>
          </w:p>
        </w:tc>
      </w:tr>
      <w:tr w:rsidR="00025250" w:rsidRPr="003E4C33" w14:paraId="7888775D" w14:textId="77777777" w:rsidTr="003E034D">
        <w:trPr>
          <w:trHeight w:val="300"/>
        </w:trPr>
        <w:tc>
          <w:tcPr>
            <w:tcW w:w="2438" w:type="dxa"/>
            <w:tcBorders>
              <w:top w:val="nil"/>
              <w:left w:val="single" w:sz="8" w:space="0" w:color="000000" w:themeColor="text1"/>
              <w:bottom w:val="single" w:sz="4" w:space="0" w:color="auto"/>
              <w:right w:val="nil"/>
            </w:tcBorders>
          </w:tcPr>
          <w:p w14:paraId="141DB754" w14:textId="445BE51C" w:rsidR="00025250" w:rsidRPr="009912C2" w:rsidRDefault="009912C2" w:rsidP="00FC6F43">
            <w:pPr>
              <w:rPr>
                <w:rStyle w:val="Firstpagetablebold"/>
                <w:rFonts w:cs="Arial"/>
                <w:color w:val="auto"/>
              </w:rPr>
            </w:pPr>
            <w:r w:rsidRPr="009912C2">
              <w:rPr>
                <w:rStyle w:val="Firstpagetablebold"/>
                <w:rFonts w:cs="Arial"/>
                <w:color w:val="auto"/>
              </w:rPr>
              <w:t>N/A</w:t>
            </w:r>
          </w:p>
        </w:tc>
        <w:tc>
          <w:tcPr>
            <w:tcW w:w="6407" w:type="dxa"/>
          </w:tcPr>
          <w:p w14:paraId="530EC42B" w14:textId="154FE7CA" w:rsidR="00025250" w:rsidRPr="009912C2" w:rsidRDefault="009912C2" w:rsidP="00FC6F43">
            <w:pPr>
              <w:rPr>
                <w:rFonts w:cs="Arial"/>
                <w:color w:val="auto"/>
              </w:rPr>
            </w:pPr>
            <w:r w:rsidRPr="009912C2">
              <w:rPr>
                <w:rFonts w:cs="Arial"/>
                <w:color w:val="auto"/>
              </w:rPr>
              <w:t>N/A</w:t>
            </w:r>
          </w:p>
        </w:tc>
      </w:tr>
    </w:tbl>
    <w:p w14:paraId="3E3DC543" w14:textId="77777777" w:rsidR="00025250" w:rsidRDefault="00025250" w:rsidP="004A6D2F"/>
    <w:tbl>
      <w:tblPr>
        <w:tblW w:w="0" w:type="auto"/>
        <w:tblInd w:w="108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912"/>
        <w:gridCol w:w="4774"/>
        <w:gridCol w:w="2484"/>
      </w:tblGrid>
      <w:tr w:rsidR="002312EA" w:rsidRPr="003E4C33" w14:paraId="469C2CEE" w14:textId="77777777" w:rsidTr="003E034D">
        <w:trPr>
          <w:trHeight w:val="300"/>
        </w:trPr>
        <w:tc>
          <w:tcPr>
            <w:tcW w:w="1912" w:type="dxa"/>
            <w:tcBorders>
              <w:bottom w:val="single" w:sz="4" w:space="0" w:color="auto"/>
            </w:tcBorders>
          </w:tcPr>
          <w:p w14:paraId="06B4268A" w14:textId="77777777" w:rsidR="002312EA" w:rsidRPr="003E4C33" w:rsidRDefault="002312EA" w:rsidP="00FC6F43">
            <w:pPr>
              <w:jc w:val="center"/>
              <w:rPr>
                <w:rStyle w:val="Firstpagetablebold"/>
                <w:rFonts w:cs="Arial"/>
              </w:rPr>
            </w:pPr>
            <w:r>
              <w:rPr>
                <w:rStyle w:val="Firstpagetablebold"/>
                <w:rFonts w:cs="Arial"/>
              </w:rPr>
              <w:t>A</w:t>
            </w:r>
            <w:r>
              <w:rPr>
                <w:rStyle w:val="Firstpagetablebold"/>
              </w:rPr>
              <w:t>ppendix No.</w:t>
            </w:r>
          </w:p>
        </w:tc>
        <w:tc>
          <w:tcPr>
            <w:tcW w:w="4774" w:type="dxa"/>
            <w:tcBorders>
              <w:bottom w:val="single" w:sz="4" w:space="0" w:color="auto"/>
            </w:tcBorders>
          </w:tcPr>
          <w:p w14:paraId="48373E4B" w14:textId="77777777" w:rsidR="002312EA" w:rsidRPr="003E4C33" w:rsidRDefault="002312EA" w:rsidP="00FC6F43">
            <w:pPr>
              <w:jc w:val="center"/>
              <w:rPr>
                <w:rStyle w:val="Firstpagetablebold"/>
                <w:rFonts w:cs="Arial"/>
              </w:rPr>
            </w:pPr>
            <w:r>
              <w:rPr>
                <w:rStyle w:val="Firstpagetablebold"/>
                <w:rFonts w:cs="Arial"/>
              </w:rPr>
              <w:t xml:space="preserve">Appendix Title </w:t>
            </w:r>
          </w:p>
        </w:tc>
        <w:tc>
          <w:tcPr>
            <w:tcW w:w="2484" w:type="dxa"/>
            <w:tcBorders>
              <w:bottom w:val="single" w:sz="4" w:space="0" w:color="auto"/>
            </w:tcBorders>
          </w:tcPr>
          <w:p w14:paraId="0A5DAC00" w14:textId="77777777" w:rsidR="002312EA" w:rsidRPr="003E4C33" w:rsidRDefault="002312EA" w:rsidP="00FC6F43">
            <w:pPr>
              <w:jc w:val="center"/>
              <w:rPr>
                <w:rStyle w:val="Firstpagetablebold"/>
                <w:rFonts w:cs="Arial"/>
              </w:rPr>
            </w:pPr>
            <w:r>
              <w:rPr>
                <w:rStyle w:val="Firstpagetablebold"/>
                <w:rFonts w:cs="Arial"/>
              </w:rPr>
              <w:t>Exempt from Publication</w:t>
            </w:r>
          </w:p>
        </w:tc>
      </w:tr>
      <w:tr w:rsidR="002312EA" w:rsidRPr="003E4C33" w14:paraId="43C48BEB" w14:textId="77777777" w:rsidTr="003E034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00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7163" w14:textId="77777777" w:rsidR="002312EA" w:rsidRPr="009E30E2" w:rsidRDefault="002312EA" w:rsidP="00FC6F43">
            <w:pPr>
              <w:rPr>
                <w:rStyle w:val="Firstpagetablebold"/>
                <w:rFonts w:cs="Arial"/>
                <w:color w:val="auto"/>
              </w:rPr>
            </w:pPr>
            <w:r w:rsidRPr="009E30E2">
              <w:rPr>
                <w:rStyle w:val="Firstpagetablebold"/>
                <w:rFonts w:cs="Arial"/>
                <w:color w:val="auto"/>
              </w:rPr>
              <w:t>Appendix 1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D561" w14:textId="5EDF0360" w:rsidR="002312EA" w:rsidRPr="009E30E2" w:rsidRDefault="002F292E" w:rsidP="00FC6F43">
            <w:pPr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Scrutiny Budget Review 2026/27 Scoping Document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4576" w14:textId="6300A3B9" w:rsidR="002312EA" w:rsidRPr="009912C2" w:rsidRDefault="009912C2" w:rsidP="009912C2">
            <w:pPr>
              <w:ind w:left="360" w:hanging="360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No</w:t>
            </w:r>
          </w:p>
        </w:tc>
      </w:tr>
      <w:tr w:rsidR="002312EA" w:rsidRPr="003E4C33" w14:paraId="5332D292" w14:textId="77777777" w:rsidTr="003E034D">
        <w:trPr>
          <w:trHeight w:val="300"/>
        </w:trPr>
        <w:tc>
          <w:tcPr>
            <w:tcW w:w="1912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6389E38" w14:textId="77777777" w:rsidR="002312EA" w:rsidRPr="009E30E2" w:rsidRDefault="002312EA" w:rsidP="00FC6F43">
            <w:pPr>
              <w:rPr>
                <w:rStyle w:val="Firstpagetablebold"/>
                <w:rFonts w:cs="Arial"/>
                <w:color w:val="auto"/>
              </w:rPr>
            </w:pPr>
            <w:r w:rsidRPr="009E30E2">
              <w:rPr>
                <w:rStyle w:val="Firstpagetablebold"/>
                <w:rFonts w:cs="Arial"/>
                <w:color w:val="auto"/>
              </w:rPr>
              <w:t xml:space="preserve">Appendix 2 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C11B" w14:textId="1CE4284F" w:rsidR="002312EA" w:rsidRPr="009E30E2" w:rsidRDefault="002F292E" w:rsidP="00FC6F43">
            <w:pPr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 xml:space="preserve">Terms of Reference </w:t>
            </w:r>
            <w:r w:rsidR="003E0229">
              <w:rPr>
                <w:rFonts w:cs="Arial"/>
                <w:color w:val="auto"/>
              </w:rPr>
              <w:t>for the Scrutiny Budget Review Group 2026/27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0E6EFED4" w14:textId="0FAD2F4F" w:rsidR="002312EA" w:rsidRPr="009E30E2" w:rsidRDefault="003E0229" w:rsidP="00FC6F43">
            <w:pPr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No</w:t>
            </w:r>
          </w:p>
        </w:tc>
      </w:tr>
    </w:tbl>
    <w:p w14:paraId="572B1CF3" w14:textId="77777777" w:rsidR="002312EA" w:rsidRDefault="002312EA" w:rsidP="004A6D2F"/>
    <w:p w14:paraId="50E21B3B" w14:textId="789ADBA9" w:rsidR="0040736F" w:rsidRPr="001356F1" w:rsidRDefault="00F66DCA" w:rsidP="0031334D">
      <w:pPr>
        <w:pStyle w:val="Heading1"/>
        <w:keepNext/>
        <w:keepLines/>
      </w:pPr>
      <w:r w:rsidRPr="001356F1">
        <w:lastRenderedPageBreak/>
        <w:t xml:space="preserve">Introduction </w:t>
      </w:r>
    </w:p>
    <w:p w14:paraId="4727013A" w14:textId="28DE43DC" w:rsidR="001C2F62" w:rsidRDefault="004F0B44" w:rsidP="0031334D">
      <w:pPr>
        <w:pStyle w:val="ListParagraph"/>
        <w:keepNext/>
        <w:keepLines/>
        <w:numPr>
          <w:ilvl w:val="0"/>
          <w:numId w:val="37"/>
        </w:numPr>
        <w:tabs>
          <w:tab w:val="clear" w:pos="426"/>
        </w:tabs>
        <w:ind w:left="426" w:hanging="426"/>
      </w:pPr>
      <w:r>
        <w:t>Each year,</w:t>
      </w:r>
      <w:r w:rsidR="00DE7E57">
        <w:t xml:space="preserve"> Oxford City Council follows a statutory process</w:t>
      </w:r>
      <w:r w:rsidR="00435545">
        <w:t xml:space="preserve"> to set a balanced budget within </w:t>
      </w:r>
      <w:r w:rsidR="00B83C24">
        <w:t>a prescribed timeline</w:t>
      </w:r>
      <w:r w:rsidR="00DE7E57">
        <w:t>, a</w:t>
      </w:r>
      <w:r w:rsidR="00B83C24">
        <w:t>s required b</w:t>
      </w:r>
      <w:r w:rsidR="00F74357">
        <w:t>y</w:t>
      </w:r>
      <w:r w:rsidR="00DE7E57">
        <w:t xml:space="preserve"> the Local Government Finance Act 1992</w:t>
      </w:r>
      <w:r w:rsidR="008211A7">
        <w:t xml:space="preserve">. This process is </w:t>
      </w:r>
      <w:r w:rsidR="00B83C24">
        <w:t xml:space="preserve">essential for managing the Council’s finances </w:t>
      </w:r>
      <w:r w:rsidR="00F74357">
        <w:t xml:space="preserve">ensuring its soundness and good governance. A key part of this process is </w:t>
      </w:r>
      <w:r w:rsidR="004A733B">
        <w:t>the Budget Review Group</w:t>
      </w:r>
      <w:r w:rsidR="00F74357">
        <w:t>, wh</w:t>
      </w:r>
      <w:r w:rsidR="004A733B">
        <w:t xml:space="preserve">o is tasked to </w:t>
      </w:r>
      <w:r w:rsidR="0082686C">
        <w:t>examine</w:t>
      </w:r>
      <w:r w:rsidR="00F74357">
        <w:t xml:space="preserve"> how resources</w:t>
      </w:r>
      <w:r w:rsidR="008C06CA">
        <w:t xml:space="preserve"> are allocated </w:t>
      </w:r>
      <w:r w:rsidR="0082686C">
        <w:t>across the Council’s services and consider the wider financial challenges it faces. This report outlines the proposed</w:t>
      </w:r>
      <w:r w:rsidR="00B31A65">
        <w:t xml:space="preserve"> scope of work for the Budget Review Group and asks the Committee to agree a clear plan for their scrutiny activities. </w:t>
      </w:r>
    </w:p>
    <w:p w14:paraId="352FB548" w14:textId="50BE928E" w:rsidR="00633578" w:rsidRPr="002B6836" w:rsidRDefault="00204657" w:rsidP="001C4DBB">
      <w:pPr>
        <w:pStyle w:val="Heading1"/>
      </w:pPr>
      <w:r>
        <w:t>Budget Review Group 2026/27</w:t>
      </w:r>
    </w:p>
    <w:p w14:paraId="4057759D" w14:textId="40792F79" w:rsidR="00CF30CD" w:rsidRDefault="00CF30CD" w:rsidP="00CF30CD">
      <w:pPr>
        <w:pStyle w:val="ListParagraph"/>
        <w:numPr>
          <w:ilvl w:val="0"/>
          <w:numId w:val="37"/>
        </w:numPr>
        <w:tabs>
          <w:tab w:val="clear" w:pos="426"/>
        </w:tabs>
        <w:ind w:left="426" w:hanging="426"/>
      </w:pPr>
      <w:r w:rsidRPr="00CF30CD">
        <w:t>At its meeting on 10 June 2025, the Scrutiny Committee agreed to establish the annual Budget Review Group</w:t>
      </w:r>
      <w:r w:rsidR="00FC51AC">
        <w:t xml:space="preserve"> to carry out a focused review of the draft budget proposals for the 2026-27 financial year, as well as the Medium-Term Financial </w:t>
      </w:r>
      <w:r w:rsidR="00FE5EC1">
        <w:t>Strategy</w:t>
      </w:r>
      <w:r w:rsidR="004D61B1">
        <w:t xml:space="preserve"> for 202</w:t>
      </w:r>
      <w:r w:rsidR="009C00C0">
        <w:t xml:space="preserve">8-30. </w:t>
      </w:r>
    </w:p>
    <w:p w14:paraId="2CDCC6F0" w14:textId="64C70C38" w:rsidR="00D71B6E" w:rsidRDefault="00D71B6E" w:rsidP="1E0B2025">
      <w:pPr>
        <w:pStyle w:val="ListParagraph"/>
        <w:tabs>
          <w:tab w:val="clear" w:pos="426"/>
        </w:tabs>
        <w:ind w:left="426" w:hanging="426"/>
        <w:rPr>
          <w:color w:val="000000" w:themeColor="text1"/>
        </w:rPr>
      </w:pPr>
      <w:r>
        <w:t xml:space="preserve">The Budget Review Group </w:t>
      </w:r>
      <w:r w:rsidR="6D3A9980" w:rsidRPr="1E0B2025">
        <w:rPr>
          <w:rFonts w:eastAsia="Arial" w:cs="Arial"/>
          <w:color w:val="000000" w:themeColor="text1"/>
        </w:rPr>
        <w:t xml:space="preserve">(“the Group”) </w:t>
      </w:r>
      <w:r>
        <w:t xml:space="preserve">will </w:t>
      </w:r>
      <w:r w:rsidR="00F06E9A">
        <w:t>comprise</w:t>
      </w:r>
      <w:r>
        <w:t xml:space="preserve"> the same membership </w:t>
      </w:r>
      <w:r w:rsidR="00DD193B">
        <w:t>as</w:t>
      </w:r>
      <w:r>
        <w:t xml:space="preserve"> the Finance and Performance Working Group</w:t>
      </w:r>
      <w:r w:rsidR="00B038AB">
        <w:t xml:space="preserve">, consisting of four councillors, to ensure continuity of the work undertaken by </w:t>
      </w:r>
      <w:r w:rsidR="009C00C0">
        <w:t>said</w:t>
      </w:r>
      <w:r w:rsidR="00B038AB">
        <w:t xml:space="preserve"> Working Group. They </w:t>
      </w:r>
      <w:proofErr w:type="gramStart"/>
      <w:r w:rsidR="00B038AB">
        <w:t>are:</w:t>
      </w:r>
      <w:proofErr w:type="gramEnd"/>
      <w:r w:rsidR="00B038AB">
        <w:t xml:space="preserve"> Cllr</w:t>
      </w:r>
      <w:r w:rsidR="006C688B">
        <w:t xml:space="preserve"> James Fry (</w:t>
      </w:r>
      <w:r w:rsidR="5BA56319">
        <w:t>C</w:t>
      </w:r>
      <w:r w:rsidR="006C688B">
        <w:t>hair), Cllr Chris Smowton, Cllr Chris Jarvis and Cllr Ian Yeatman.</w:t>
      </w:r>
      <w:r w:rsidR="00196B97">
        <w:t xml:space="preserve"> Substitutions will be </w:t>
      </w:r>
      <w:r w:rsidR="00412EF2">
        <w:t>permitted</w:t>
      </w:r>
      <w:r w:rsidR="00196B97">
        <w:t xml:space="preserve"> </w:t>
      </w:r>
      <w:r w:rsidR="00557977">
        <w:t xml:space="preserve">for the Budget Review Group, though it is hoped </w:t>
      </w:r>
      <w:r w:rsidR="00412EF2">
        <w:t xml:space="preserve">that advance </w:t>
      </w:r>
      <w:r w:rsidR="00557977">
        <w:t>planning and s</w:t>
      </w:r>
      <w:r w:rsidR="00723D87">
        <w:t>cheduling</w:t>
      </w:r>
      <w:r w:rsidR="00557977">
        <w:t xml:space="preserve"> of its meetings</w:t>
      </w:r>
      <w:r w:rsidR="00412EF2">
        <w:t xml:space="preserve"> will </w:t>
      </w:r>
      <w:r w:rsidR="00B71867">
        <w:t>help mi</w:t>
      </w:r>
      <w:r w:rsidR="00723D87">
        <w:t>nimise</w:t>
      </w:r>
      <w:r w:rsidR="00B71867">
        <w:t xml:space="preserve"> the need</w:t>
      </w:r>
      <w:r w:rsidR="00557977">
        <w:t>.</w:t>
      </w:r>
    </w:p>
    <w:p w14:paraId="7351609E" w14:textId="622453DD" w:rsidR="006C688B" w:rsidRDefault="004010DE" w:rsidP="00CF30CD">
      <w:pPr>
        <w:pStyle w:val="ListParagraph"/>
        <w:numPr>
          <w:ilvl w:val="0"/>
          <w:numId w:val="37"/>
        </w:numPr>
        <w:tabs>
          <w:tab w:val="clear" w:pos="426"/>
        </w:tabs>
        <w:ind w:left="426" w:hanging="426"/>
      </w:pPr>
      <w:r>
        <w:t xml:space="preserve">A total of 5 meetings will be held during </w:t>
      </w:r>
      <w:r w:rsidR="00131496">
        <w:t>December 2025 and January 2026, aligning with the key stages of the Council’s budget cycle</w:t>
      </w:r>
      <w:r w:rsidR="00575FD5">
        <w:t>, and will be thematically structured to enable an in-depth examination of directorate budgets, council-owned companies, and financial assets.</w:t>
      </w:r>
    </w:p>
    <w:p w14:paraId="13363146" w14:textId="3E6A9297" w:rsidR="005425E7" w:rsidRDefault="00966866" w:rsidP="40220777">
      <w:pPr>
        <w:pStyle w:val="ListParagraph"/>
        <w:tabs>
          <w:tab w:val="clear" w:pos="426"/>
        </w:tabs>
        <w:ind w:left="426" w:hanging="426"/>
      </w:pPr>
      <w:r>
        <w:t xml:space="preserve">Areas of focus for this year to include </w:t>
      </w:r>
      <w:r w:rsidR="00715A95">
        <w:t xml:space="preserve">financial mitigation strategies, </w:t>
      </w:r>
      <w:r w:rsidR="00A64FF7">
        <w:t>the impacts of inflation and cost-of-living crisis</w:t>
      </w:r>
      <w:r w:rsidR="003D77F8">
        <w:t>, and sustainability of the O</w:t>
      </w:r>
      <w:r w:rsidR="71B77E2F">
        <w:t xml:space="preserve">xford </w:t>
      </w:r>
      <w:r w:rsidR="003D77F8">
        <w:t>D</w:t>
      </w:r>
      <w:r w:rsidR="1E0A9772">
        <w:t xml:space="preserve">irect </w:t>
      </w:r>
      <w:r w:rsidR="003D77F8">
        <w:t>S</w:t>
      </w:r>
      <w:r w:rsidR="0B3F5CDD">
        <w:t>ervices Limited</w:t>
      </w:r>
      <w:r w:rsidR="33216B2F">
        <w:t xml:space="preserve"> (ODSL)</w:t>
      </w:r>
      <w:r w:rsidR="0B3F5CDD">
        <w:t>, Oxford Direct Services Trading Limited</w:t>
      </w:r>
      <w:r w:rsidR="1AC2D989">
        <w:t xml:space="preserve"> (ODSTL)</w:t>
      </w:r>
      <w:r w:rsidR="003D77F8">
        <w:t xml:space="preserve"> and O</w:t>
      </w:r>
      <w:r w:rsidR="2B626F37">
        <w:t>xford City Housing Limited</w:t>
      </w:r>
      <w:r w:rsidR="630B8B08">
        <w:t xml:space="preserve"> </w:t>
      </w:r>
      <w:r w:rsidR="40ED7A8B">
        <w:t>(OCHL)</w:t>
      </w:r>
      <w:r w:rsidRPr="1E0B2025">
        <w:rPr>
          <w:rStyle w:val="FootnoteReference"/>
        </w:rPr>
        <w:footnoteReference w:id="1"/>
      </w:r>
      <w:r w:rsidR="717DCE89">
        <w:t xml:space="preserve"> </w:t>
      </w:r>
      <w:r w:rsidR="003D77F8">
        <w:t>business plans</w:t>
      </w:r>
      <w:r w:rsidR="00A64FF7">
        <w:t>.</w:t>
      </w:r>
      <w:r w:rsidR="00F90D81">
        <w:t xml:space="preserve"> The Group will assess income stream risks, borrowing plans, contingencies, </w:t>
      </w:r>
      <w:r w:rsidR="00CD20C0">
        <w:t xml:space="preserve">optimism bias assumptions </w:t>
      </w:r>
      <w:r w:rsidR="00F90D81">
        <w:t xml:space="preserve">and the Capital Programme’s deliverability. </w:t>
      </w:r>
      <w:r w:rsidR="00371EBB">
        <w:t>Attention will also be given to the use of emerging technologies such as AI, challenges in staff recruitment and retention, and the financial implications of the local government restructure.</w:t>
      </w:r>
      <w:r w:rsidR="00C22B95">
        <w:t xml:space="preserve"> </w:t>
      </w:r>
    </w:p>
    <w:p w14:paraId="5DBB186A" w14:textId="381F9FBF" w:rsidR="00E3701E" w:rsidRDefault="00C22B95" w:rsidP="00193AD9">
      <w:pPr>
        <w:pStyle w:val="ListParagraph"/>
        <w:numPr>
          <w:ilvl w:val="0"/>
          <w:numId w:val="37"/>
        </w:numPr>
        <w:tabs>
          <w:tab w:val="clear" w:pos="426"/>
        </w:tabs>
        <w:ind w:left="426" w:hanging="426"/>
      </w:pPr>
      <w:r>
        <w:t xml:space="preserve">Full details of the </w:t>
      </w:r>
      <w:r w:rsidR="003D4654">
        <w:t xml:space="preserve">Budget Review Group scope </w:t>
      </w:r>
      <w:proofErr w:type="gramStart"/>
      <w:r w:rsidR="003D4654">
        <w:t>is</w:t>
      </w:r>
      <w:proofErr w:type="gramEnd"/>
      <w:r w:rsidR="003D4654">
        <w:t xml:space="preserve"> set out in Appendix 1.</w:t>
      </w:r>
      <w:r w:rsidR="005425E7">
        <w:t xml:space="preserve"> Also included </w:t>
      </w:r>
      <w:r w:rsidR="00DF4228">
        <w:t xml:space="preserve">as Appendix 2 </w:t>
      </w:r>
      <w:r w:rsidR="005425E7">
        <w:t xml:space="preserve">is the </w:t>
      </w:r>
      <w:r w:rsidR="00DF4228">
        <w:t>Terms of Reference guid</w:t>
      </w:r>
      <w:r w:rsidR="00187465">
        <w:t>ing</w:t>
      </w:r>
      <w:r w:rsidR="00DF4228">
        <w:t xml:space="preserve"> the work of the Group.</w:t>
      </w:r>
    </w:p>
    <w:p w14:paraId="0BF127EE" w14:textId="4BB6A029" w:rsidR="00193AD9" w:rsidRDefault="00193AD9" w:rsidP="1E0B2025">
      <w:pPr>
        <w:pStyle w:val="ListParagraph"/>
        <w:tabs>
          <w:tab w:val="clear" w:pos="426"/>
        </w:tabs>
        <w:ind w:left="426" w:hanging="426"/>
      </w:pPr>
      <w:r>
        <w:t xml:space="preserve">Cabinet Members and </w:t>
      </w:r>
      <w:r w:rsidR="622FE685">
        <w:t xml:space="preserve">the Council’s </w:t>
      </w:r>
      <w:r>
        <w:t>C</w:t>
      </w:r>
      <w:r w:rsidR="1EFE63EC">
        <w:t xml:space="preserve">orporate </w:t>
      </w:r>
      <w:r>
        <w:t>L</w:t>
      </w:r>
      <w:r w:rsidR="496D94A2">
        <w:t xml:space="preserve">eadership </w:t>
      </w:r>
      <w:r>
        <w:t>T</w:t>
      </w:r>
      <w:r w:rsidR="709FCC63">
        <w:t>eam</w:t>
      </w:r>
      <w:r>
        <w:t xml:space="preserve"> </w:t>
      </w:r>
      <w:r w:rsidR="77BEEA55">
        <w:t xml:space="preserve">(CLT) </w:t>
      </w:r>
      <w:r>
        <w:t>will be invited to attend meetings where their input is required to inform the work of the Group</w:t>
      </w:r>
      <w:r w:rsidR="00817B37">
        <w:t>. As well, members of the Housing and Homelessness Working Group and</w:t>
      </w:r>
      <w:r w:rsidR="0067242D">
        <w:t xml:space="preserve"> the</w:t>
      </w:r>
      <w:r w:rsidR="00817B37">
        <w:t xml:space="preserve"> Climate and Environment Working Group w</w:t>
      </w:r>
      <w:r w:rsidR="0067242D">
        <w:t>ill</w:t>
      </w:r>
      <w:r w:rsidR="00817B37">
        <w:t xml:space="preserve"> be invited to contribute </w:t>
      </w:r>
      <w:r w:rsidR="0067242D">
        <w:t xml:space="preserve">respectively </w:t>
      </w:r>
      <w:r w:rsidR="00817B37">
        <w:t xml:space="preserve">to the review of housing-related and </w:t>
      </w:r>
      <w:r w:rsidR="002D76CA">
        <w:t xml:space="preserve">environmental sustainability budgetary matters, though they will not have powers to formulate or agree </w:t>
      </w:r>
      <w:r w:rsidR="00736DA9">
        <w:t>any recommendations.</w:t>
      </w:r>
    </w:p>
    <w:p w14:paraId="0F80A270" w14:textId="7FD1CD29" w:rsidR="00736DA9" w:rsidRPr="00CF30CD" w:rsidRDefault="00736DA9" w:rsidP="5F5A5137">
      <w:pPr>
        <w:pStyle w:val="ListParagraph"/>
        <w:tabs>
          <w:tab w:val="clear" w:pos="426"/>
        </w:tabs>
        <w:ind w:left="426" w:hanging="426"/>
      </w:pPr>
      <w:r>
        <w:t xml:space="preserve">At the end of the </w:t>
      </w:r>
      <w:r w:rsidR="00E73A37">
        <w:t xml:space="preserve">project, a report </w:t>
      </w:r>
      <w:r w:rsidR="008040FA">
        <w:t>detailing</w:t>
      </w:r>
      <w:r w:rsidR="00E73A37">
        <w:t xml:space="preserve"> the Budget Review Group’s findings and final recommendations will be submitted to the Scrutiny Committee for </w:t>
      </w:r>
      <w:r w:rsidR="00D403B1">
        <w:lastRenderedPageBreak/>
        <w:t xml:space="preserve">consideration and </w:t>
      </w:r>
      <w:r w:rsidR="2F91E25D">
        <w:t>approval and</w:t>
      </w:r>
      <w:r w:rsidR="00E74F57">
        <w:t xml:space="preserve"> then</w:t>
      </w:r>
      <w:r w:rsidR="00D51CBD">
        <w:t xml:space="preserve"> reported onward to Cabinet and the</w:t>
      </w:r>
      <w:r w:rsidR="008040FA">
        <w:t xml:space="preserve"> Budget</w:t>
      </w:r>
      <w:r w:rsidR="00D51CBD">
        <w:t xml:space="preserve"> Council in February</w:t>
      </w:r>
      <w:r w:rsidR="008A5E81">
        <w:t xml:space="preserve"> 2026</w:t>
      </w:r>
      <w:r w:rsidR="00D51CBD">
        <w:t>.</w:t>
      </w:r>
    </w:p>
    <w:p w14:paraId="70635196" w14:textId="298A5F7F" w:rsidR="002312EA" w:rsidRDefault="002312EA" w:rsidP="008A131B">
      <w:pPr>
        <w:pStyle w:val="Heading1"/>
      </w:pPr>
      <w:r>
        <w:t xml:space="preserve">Alternative Options Considered </w:t>
      </w:r>
    </w:p>
    <w:p w14:paraId="5556DAA0" w14:textId="2A090935" w:rsidR="002312EA" w:rsidRPr="009E30E2" w:rsidRDefault="004B67EC" w:rsidP="008A131B">
      <w:pPr>
        <w:pStyle w:val="ListParagraph"/>
        <w:tabs>
          <w:tab w:val="clear" w:pos="426"/>
        </w:tabs>
        <w:ind w:left="426" w:hanging="426"/>
        <w:rPr>
          <w:rFonts w:cs="Arial"/>
          <w:color w:val="auto"/>
        </w:rPr>
      </w:pPr>
      <w:r>
        <w:rPr>
          <w:rFonts w:cs="Arial"/>
          <w:color w:val="auto"/>
        </w:rPr>
        <w:t xml:space="preserve">The Committee could </w:t>
      </w:r>
      <w:r w:rsidR="00702EA4">
        <w:rPr>
          <w:rFonts w:cs="Arial"/>
          <w:color w:val="auto"/>
        </w:rPr>
        <w:t>decide</w:t>
      </w:r>
      <w:r w:rsidR="005B0565">
        <w:rPr>
          <w:rFonts w:cs="Arial"/>
          <w:color w:val="auto"/>
        </w:rPr>
        <w:t xml:space="preserve"> not to agree the proposed scope for the Budget Review Group </w:t>
      </w:r>
      <w:r w:rsidR="00FB501F">
        <w:rPr>
          <w:rFonts w:cs="Arial"/>
          <w:color w:val="auto"/>
        </w:rPr>
        <w:t xml:space="preserve">however it would </w:t>
      </w:r>
      <w:r w:rsidR="00955511">
        <w:rPr>
          <w:rFonts w:cs="Arial"/>
          <w:color w:val="auto"/>
        </w:rPr>
        <w:t xml:space="preserve">need to clearly define and </w:t>
      </w:r>
      <w:r w:rsidR="00DD1B01">
        <w:rPr>
          <w:rFonts w:cs="Arial"/>
          <w:color w:val="auto"/>
        </w:rPr>
        <w:t xml:space="preserve">agree </w:t>
      </w:r>
      <w:r w:rsidR="00955511">
        <w:rPr>
          <w:rFonts w:cs="Arial"/>
          <w:color w:val="auto"/>
        </w:rPr>
        <w:t xml:space="preserve">its expectations. Failure to agree on the scope may risk delaying the review process and could ultimately undermine the role of scrutiny in the Council’s budget-setting for the coming year. </w:t>
      </w:r>
    </w:p>
    <w:p w14:paraId="485FA2EF" w14:textId="1450874D" w:rsidR="00E87F7A" w:rsidRPr="001356F1" w:rsidRDefault="00E87F7A" w:rsidP="008A131B">
      <w:pPr>
        <w:pStyle w:val="Heading1"/>
      </w:pPr>
      <w:r w:rsidRPr="001356F1">
        <w:t xml:space="preserve">Other implications </w:t>
      </w:r>
    </w:p>
    <w:p w14:paraId="2AA93F45" w14:textId="4B305546" w:rsidR="00383CEF" w:rsidRDefault="00712D17" w:rsidP="00273D67">
      <w:pPr>
        <w:pStyle w:val="ListParagraph"/>
        <w:ind w:left="425" w:hanging="425"/>
      </w:pPr>
      <w:r>
        <w:t xml:space="preserve">Whilst </w:t>
      </w:r>
      <w:r w:rsidR="006063E3">
        <w:t>the Budget Review Group is a non-</w:t>
      </w:r>
      <w:r>
        <w:t>decision-making</w:t>
      </w:r>
      <w:r w:rsidR="006063E3">
        <w:t xml:space="preserve"> body, </w:t>
      </w:r>
      <w:r w:rsidR="00F83E67">
        <w:t>recommendations</w:t>
      </w:r>
      <w:r w:rsidR="00295966">
        <w:t xml:space="preserve"> made as an outcome to the </w:t>
      </w:r>
      <w:r w:rsidR="003219B4">
        <w:t>review process could influence future operational priorities. The Committee should be mindful of potential impacts on community relations and public perception, particularly where changes</w:t>
      </w:r>
      <w:r w:rsidR="0031334D">
        <w:t xml:space="preserve"> to budget may affect the delivery of service</w:t>
      </w:r>
      <w:r w:rsidR="003219B4">
        <w:t xml:space="preserve">. </w:t>
      </w:r>
    </w:p>
    <w:p w14:paraId="11308776" w14:textId="77777777" w:rsidR="0040736F" w:rsidRPr="002B6836" w:rsidRDefault="002329CF" w:rsidP="002B6836">
      <w:pPr>
        <w:pStyle w:val="Heading1"/>
      </w:pPr>
      <w:r w:rsidRPr="002B6836">
        <w:t>Financial implications</w:t>
      </w:r>
    </w:p>
    <w:p w14:paraId="0DC981BA" w14:textId="7D499757" w:rsidR="00E87F7A" w:rsidRPr="001356F1" w:rsidRDefault="00273D67" w:rsidP="00273D67">
      <w:pPr>
        <w:pStyle w:val="ListParagraph"/>
        <w:numPr>
          <w:ilvl w:val="0"/>
          <w:numId w:val="37"/>
        </w:numPr>
        <w:tabs>
          <w:tab w:val="clear" w:pos="426"/>
        </w:tabs>
        <w:ind w:left="426" w:hanging="426"/>
      </w:pPr>
      <w:r>
        <w:rPr>
          <w:rStyle w:val="bParagraphtextChar"/>
        </w:rPr>
        <w:t>Any f</w:t>
      </w:r>
      <w:r w:rsidR="00283FF3">
        <w:rPr>
          <w:rStyle w:val="bParagraphtextChar"/>
        </w:rPr>
        <w:t>inancial implications</w:t>
      </w:r>
      <w:r w:rsidR="00D021A9">
        <w:rPr>
          <w:rStyle w:val="bParagraphtextChar"/>
        </w:rPr>
        <w:t xml:space="preserve"> </w:t>
      </w:r>
      <w:r>
        <w:rPr>
          <w:rStyle w:val="bParagraphtextChar"/>
        </w:rPr>
        <w:t xml:space="preserve">arising from matters </w:t>
      </w:r>
      <w:r w:rsidR="003F2384">
        <w:rPr>
          <w:rStyle w:val="bParagraphtextChar"/>
        </w:rPr>
        <w:t xml:space="preserve">considered </w:t>
      </w:r>
      <w:r w:rsidR="000D0C47">
        <w:rPr>
          <w:rStyle w:val="bParagraphtextChar"/>
        </w:rPr>
        <w:t>by</w:t>
      </w:r>
      <w:r w:rsidR="00CA2847">
        <w:rPr>
          <w:rStyle w:val="bParagraphtextChar"/>
        </w:rPr>
        <w:t xml:space="preserve"> the Budget Review Group will be </w:t>
      </w:r>
      <w:r w:rsidR="000D0C47">
        <w:rPr>
          <w:rStyle w:val="bParagraphtextChar"/>
        </w:rPr>
        <w:t>detailed</w:t>
      </w:r>
      <w:r w:rsidR="00CA2847">
        <w:rPr>
          <w:rStyle w:val="bParagraphtextChar"/>
        </w:rPr>
        <w:t xml:space="preserve"> in the reports presented and discussed </w:t>
      </w:r>
      <w:r w:rsidR="000D0C47">
        <w:rPr>
          <w:rStyle w:val="bParagraphtextChar"/>
        </w:rPr>
        <w:t>during</w:t>
      </w:r>
      <w:r w:rsidR="00CA2847">
        <w:rPr>
          <w:rStyle w:val="bParagraphtextChar"/>
        </w:rPr>
        <w:t xml:space="preserve"> the scheduled meetings.</w:t>
      </w:r>
    </w:p>
    <w:p w14:paraId="06827778" w14:textId="77777777" w:rsidR="0040736F" w:rsidRPr="001356F1" w:rsidRDefault="00DA614B" w:rsidP="000B44F0">
      <w:pPr>
        <w:pStyle w:val="Heading1"/>
      </w:pPr>
      <w:r w:rsidRPr="001356F1">
        <w:t>Legal issues</w:t>
      </w:r>
    </w:p>
    <w:p w14:paraId="65F2B1EC" w14:textId="6EC9105A" w:rsidR="00972A32" w:rsidRPr="001356F1" w:rsidRDefault="00972A32" w:rsidP="00972A32">
      <w:pPr>
        <w:pStyle w:val="ListParagraph"/>
        <w:numPr>
          <w:ilvl w:val="0"/>
          <w:numId w:val="37"/>
        </w:numPr>
        <w:tabs>
          <w:tab w:val="clear" w:pos="426"/>
        </w:tabs>
        <w:ind w:left="426" w:hanging="426"/>
      </w:pPr>
      <w:r>
        <w:rPr>
          <w:rStyle w:val="bParagraphtextChar"/>
        </w:rPr>
        <w:t>Any legal implications arising from matters considered by the Budget Review Group will be detailed in the reports presented and discussed during the scheduled meetings.</w:t>
      </w:r>
    </w:p>
    <w:p w14:paraId="39265579" w14:textId="77777777" w:rsidR="002329CF" w:rsidRPr="001356F1" w:rsidRDefault="002329CF" w:rsidP="000B44F0">
      <w:pPr>
        <w:pStyle w:val="Heading1"/>
      </w:pPr>
      <w:r w:rsidRPr="001356F1">
        <w:t>Level of risk</w:t>
      </w:r>
    </w:p>
    <w:p w14:paraId="067C813B" w14:textId="4F13890B" w:rsidR="00F433C4" w:rsidRPr="001356F1" w:rsidRDefault="00F433C4" w:rsidP="00F433C4">
      <w:pPr>
        <w:pStyle w:val="ListParagraph"/>
        <w:numPr>
          <w:ilvl w:val="0"/>
          <w:numId w:val="37"/>
        </w:numPr>
        <w:tabs>
          <w:tab w:val="clear" w:pos="426"/>
        </w:tabs>
        <w:ind w:left="426" w:hanging="426"/>
      </w:pPr>
      <w:r>
        <w:rPr>
          <w:rStyle w:val="bParagraphtextChar"/>
        </w:rPr>
        <w:t>Risks arising from matters considered by the Budget Review Group will be detailed in the reports presented and discussed during the scheduled meetings.</w:t>
      </w:r>
    </w:p>
    <w:p w14:paraId="2399E607" w14:textId="77777777" w:rsidR="002329CF" w:rsidRPr="001356F1" w:rsidRDefault="002329CF" w:rsidP="000B44F0">
      <w:pPr>
        <w:pStyle w:val="Heading1"/>
      </w:pPr>
      <w:r w:rsidRPr="001356F1">
        <w:t xml:space="preserve">Equalities impact </w:t>
      </w:r>
    </w:p>
    <w:p w14:paraId="150393B2" w14:textId="56321458" w:rsidR="002D17E0" w:rsidRPr="002D17E0" w:rsidRDefault="002D17E0" w:rsidP="002D17E0">
      <w:pPr>
        <w:pStyle w:val="ListParagraph"/>
        <w:numPr>
          <w:ilvl w:val="0"/>
          <w:numId w:val="37"/>
        </w:numPr>
        <w:tabs>
          <w:tab w:val="clear" w:pos="426"/>
        </w:tabs>
        <w:ind w:left="426" w:hanging="426"/>
      </w:pPr>
      <w:r>
        <w:rPr>
          <w:rStyle w:val="bParagraphtextChar"/>
        </w:rPr>
        <w:t xml:space="preserve">Where appropriate, Equalities Impact Assessments will be linked to the reports presented to the Budget Review Group. </w:t>
      </w:r>
    </w:p>
    <w:p w14:paraId="1C46F1C8" w14:textId="77777777" w:rsidR="00FB3B71" w:rsidRDefault="00950824" w:rsidP="000B44F0">
      <w:pPr>
        <w:pStyle w:val="bParagraphtext"/>
        <w:numPr>
          <w:ilvl w:val="0"/>
          <w:numId w:val="0"/>
        </w:numPr>
      </w:pPr>
      <w:bookmarkStart w:id="0" w:name="_Hlk184712246"/>
      <w:r>
        <w:rPr>
          <w:b/>
        </w:rPr>
        <w:t>Carbon and Environmental Considerations</w:t>
      </w:r>
      <w:r w:rsidR="00FB3B71" w:rsidRPr="00FB3B71">
        <w:rPr>
          <w:b/>
        </w:rPr>
        <w:t xml:space="preserve"> </w:t>
      </w:r>
    </w:p>
    <w:bookmarkEnd w:id="0"/>
    <w:p w14:paraId="1C3EE284" w14:textId="6CDA3E0C" w:rsidR="00E206D6" w:rsidRPr="001356F1" w:rsidRDefault="002D17E0" w:rsidP="002D17E0">
      <w:pPr>
        <w:pStyle w:val="ListParagraph"/>
        <w:numPr>
          <w:ilvl w:val="0"/>
          <w:numId w:val="37"/>
        </w:numPr>
        <w:tabs>
          <w:tab w:val="clear" w:pos="426"/>
        </w:tabs>
        <w:ind w:left="426" w:hanging="426"/>
      </w:pPr>
      <w:r>
        <w:rPr>
          <w:rStyle w:val="bParagraphtextChar"/>
        </w:rPr>
        <w:t xml:space="preserve">Where appropriate, </w:t>
      </w:r>
      <w:r w:rsidRPr="002D17E0">
        <w:rPr>
          <w:rStyle w:val="bParagraphtextChar"/>
        </w:rPr>
        <w:t xml:space="preserve">Carbon and Environmental Considerations </w:t>
      </w:r>
      <w:r>
        <w:rPr>
          <w:rStyle w:val="bParagraphtextChar"/>
        </w:rPr>
        <w:t xml:space="preserve">will be linked to the reports presented to the Budget Review Group. </w:t>
      </w:r>
    </w:p>
    <w:p w14:paraId="3384B174" w14:textId="77777777" w:rsidR="002329CF" w:rsidRPr="001356F1" w:rsidRDefault="002329CF" w:rsidP="004A6D2F"/>
    <w:tbl>
      <w:tblPr>
        <w:tblW w:w="0" w:type="auto"/>
        <w:tblInd w:w="108" w:type="dxa"/>
        <w:tbl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blBorders>
        <w:tblLook w:val="04A0" w:firstRow="1" w:lastRow="0" w:firstColumn="1" w:lastColumn="0" w:noHBand="0" w:noVBand="1"/>
      </w:tblPr>
      <w:tblGrid>
        <w:gridCol w:w="3969"/>
        <w:gridCol w:w="4962"/>
      </w:tblGrid>
      <w:tr w:rsidR="00DF093E" w:rsidRPr="001356F1" w14:paraId="0FA94296" w14:textId="77777777" w:rsidTr="1E0B2025">
        <w:trPr>
          <w:cantSplit/>
          <w:trHeight w:val="396"/>
        </w:trPr>
        <w:tc>
          <w:tcPr>
            <w:tcW w:w="3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04987E45" w14:textId="77777777" w:rsidR="00E87F7A" w:rsidRPr="001356F1" w:rsidRDefault="00E87F7A" w:rsidP="00A46E98">
            <w:pPr>
              <w:rPr>
                <w:b/>
              </w:rPr>
            </w:pPr>
            <w:r w:rsidRPr="001356F1">
              <w:rPr>
                <w:b/>
              </w:rPr>
              <w:t>Report author</w:t>
            </w:r>
          </w:p>
        </w:tc>
        <w:tc>
          <w:tcPr>
            <w:tcW w:w="496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6930C959" w14:textId="00F093D4" w:rsidR="00E87F7A" w:rsidRPr="001356F1" w:rsidRDefault="002D17E0" w:rsidP="00A46E98">
            <w:r>
              <w:t xml:space="preserve">Celeste </w:t>
            </w:r>
            <w:proofErr w:type="spellStart"/>
            <w:r>
              <w:t>Reyeslao</w:t>
            </w:r>
            <w:proofErr w:type="spellEnd"/>
          </w:p>
        </w:tc>
      </w:tr>
      <w:tr w:rsidR="00DF093E" w:rsidRPr="001356F1" w14:paraId="07A5B9C2" w14:textId="77777777" w:rsidTr="1E0B2025">
        <w:trPr>
          <w:cantSplit/>
          <w:trHeight w:val="396"/>
        </w:trPr>
        <w:tc>
          <w:tcPr>
            <w:tcW w:w="3969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nil"/>
            </w:tcBorders>
          </w:tcPr>
          <w:p w14:paraId="6B6C3381" w14:textId="77777777" w:rsidR="00E87F7A" w:rsidRPr="001356F1" w:rsidRDefault="00E87F7A" w:rsidP="00A46E98">
            <w:r w:rsidRPr="001356F1">
              <w:t>Job title</w:t>
            </w:r>
          </w:p>
        </w:tc>
        <w:tc>
          <w:tcPr>
            <w:tcW w:w="4962" w:type="dxa"/>
            <w:tcBorders>
              <w:top w:val="single" w:sz="8" w:space="0" w:color="000000" w:themeColor="text1"/>
              <w:left w:val="nil"/>
              <w:bottom w:val="nil"/>
              <w:right w:val="single" w:sz="8" w:space="0" w:color="000000" w:themeColor="text1"/>
            </w:tcBorders>
          </w:tcPr>
          <w:p w14:paraId="3100D2DA" w14:textId="25F8244B" w:rsidR="00E87F7A" w:rsidRPr="001356F1" w:rsidRDefault="002D17E0" w:rsidP="00A46E98">
            <w:r>
              <w:t>Scrutiny and Governance Advisor</w:t>
            </w:r>
          </w:p>
        </w:tc>
      </w:tr>
      <w:tr w:rsidR="00DF093E" w:rsidRPr="001356F1" w14:paraId="6DEB5543" w14:textId="77777777" w:rsidTr="1E0B2025">
        <w:trPr>
          <w:cantSplit/>
          <w:trHeight w:val="396"/>
        </w:trPr>
        <w:tc>
          <w:tcPr>
            <w:tcW w:w="3969" w:type="dxa"/>
            <w:tcBorders>
              <w:top w:val="nil"/>
              <w:left w:val="single" w:sz="8" w:space="0" w:color="000000" w:themeColor="text1"/>
              <w:bottom w:val="nil"/>
              <w:right w:val="nil"/>
            </w:tcBorders>
          </w:tcPr>
          <w:p w14:paraId="7BD402AB" w14:textId="77777777" w:rsidR="00E87F7A" w:rsidRPr="001356F1" w:rsidRDefault="00E87F7A" w:rsidP="00A46E98">
            <w:r w:rsidRPr="001356F1">
              <w:t>Service area or department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</w:tcPr>
          <w:p w14:paraId="0F7746FF" w14:textId="3D788066" w:rsidR="00E87F7A" w:rsidRPr="001356F1" w:rsidRDefault="6DCC7089" w:rsidP="00A46E98">
            <w:r>
              <w:t>Committee and Member Services</w:t>
            </w:r>
          </w:p>
        </w:tc>
      </w:tr>
      <w:tr w:rsidR="00DF093E" w:rsidRPr="001356F1" w14:paraId="572FB489" w14:textId="77777777" w:rsidTr="1E0B2025">
        <w:trPr>
          <w:cantSplit/>
          <w:trHeight w:val="396"/>
        </w:trPr>
        <w:tc>
          <w:tcPr>
            <w:tcW w:w="3969" w:type="dxa"/>
            <w:tcBorders>
              <w:top w:val="nil"/>
              <w:left w:val="single" w:sz="8" w:space="0" w:color="000000" w:themeColor="text1"/>
              <w:bottom w:val="nil"/>
              <w:right w:val="nil"/>
            </w:tcBorders>
          </w:tcPr>
          <w:p w14:paraId="7832E71E" w14:textId="3EC0FAE2" w:rsidR="00E87F7A" w:rsidRPr="001356F1" w:rsidRDefault="00E87F7A" w:rsidP="00CE25DD">
            <w:pPr>
              <w:spacing w:line="259" w:lineRule="auto"/>
            </w:pPr>
            <w:r>
              <w:t xml:space="preserve">Telephone 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</w:tcPr>
          <w:p w14:paraId="53D96CCC" w14:textId="4331D8F8" w:rsidR="00E87F7A" w:rsidRPr="001356F1" w:rsidRDefault="00E87F7A" w:rsidP="00A46E98">
            <w:r w:rsidRPr="001356F1">
              <w:t xml:space="preserve">01865 </w:t>
            </w:r>
            <w:r w:rsidR="00A46DBA">
              <w:t>252946</w:t>
            </w:r>
            <w:r w:rsidRPr="001356F1">
              <w:t xml:space="preserve">  </w:t>
            </w:r>
          </w:p>
        </w:tc>
      </w:tr>
      <w:tr w:rsidR="005570B5" w:rsidRPr="001356F1" w14:paraId="40AEFD69" w14:textId="77777777" w:rsidTr="1E0B2025">
        <w:trPr>
          <w:cantSplit/>
          <w:trHeight w:val="396"/>
        </w:trPr>
        <w:tc>
          <w:tcPr>
            <w:tcW w:w="396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5C2DD139" w14:textId="77777777" w:rsidR="00E87F7A" w:rsidRPr="001356F1" w:rsidRDefault="00E87F7A" w:rsidP="00A46E98">
            <w:r w:rsidRPr="001356F1">
              <w:t xml:space="preserve">e-mail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64C04F4C" w14:textId="1BE1DE4D" w:rsidR="00E87F7A" w:rsidRPr="001356F1" w:rsidRDefault="00A46DBA" w:rsidP="00A46E98">
            <w:pPr>
              <w:rPr>
                <w:rStyle w:val="Hyperlink"/>
                <w:color w:val="000000"/>
              </w:rPr>
            </w:pPr>
            <w:hyperlink r:id="rId11" w:history="1">
              <w:r w:rsidRPr="00C9585F">
                <w:rPr>
                  <w:rStyle w:val="Hyperlink"/>
                </w:rPr>
                <w:t>creyeslao@oxford.gov.uk</w:t>
              </w:r>
            </w:hyperlink>
          </w:p>
        </w:tc>
      </w:tr>
    </w:tbl>
    <w:p w14:paraId="143C8714" w14:textId="77777777" w:rsidR="00433B96" w:rsidRPr="001356F1" w:rsidRDefault="00433B96" w:rsidP="004A6D2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DF093E" w:rsidRPr="001356F1" w14:paraId="12CCF8EE" w14:textId="77777777" w:rsidTr="1E0B2025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</w:tcPr>
          <w:p w14:paraId="7116CD40" w14:textId="0937D4F1" w:rsidR="0093067A" w:rsidRPr="008E1573" w:rsidRDefault="3CA5522E" w:rsidP="008E1573">
            <w:r w:rsidRPr="1E0B2025">
              <w:rPr>
                <w:rStyle w:val="Firstpagetablebold"/>
              </w:rPr>
              <w:t xml:space="preserve">Background Papers: </w:t>
            </w:r>
            <w:r w:rsidR="521F8851" w:rsidRPr="1E0B2025">
              <w:rPr>
                <w:rStyle w:val="Firstpagetablebold"/>
              </w:rPr>
              <w:t>None</w:t>
            </w:r>
          </w:p>
        </w:tc>
      </w:tr>
    </w:tbl>
    <w:p w14:paraId="1FE671BD" w14:textId="77777777" w:rsidR="004456DD" w:rsidRPr="00325C66" w:rsidRDefault="004456DD" w:rsidP="0093067A">
      <w:pPr>
        <w:rPr>
          <w:sz w:val="10"/>
          <w:szCs w:val="10"/>
        </w:rPr>
      </w:pPr>
    </w:p>
    <w:sectPr w:rsidR="004456DD" w:rsidRPr="00325C66" w:rsidSect="00325C66">
      <w:footerReference w:type="even" r:id="rId12"/>
      <w:headerReference w:type="first" r:id="rId13"/>
      <w:pgSz w:w="11906" w:h="16838" w:code="9"/>
      <w:pgMar w:top="1276" w:right="1304" w:bottom="993" w:left="1304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7F3CD" w14:textId="77777777" w:rsidR="00CD1CC5" w:rsidRDefault="00CD1CC5" w:rsidP="004A6D2F">
      <w:r>
        <w:separator/>
      </w:r>
    </w:p>
  </w:endnote>
  <w:endnote w:type="continuationSeparator" w:id="0">
    <w:p w14:paraId="1BF3E602" w14:textId="77777777" w:rsidR="00CD1CC5" w:rsidRDefault="00CD1CC5" w:rsidP="004A6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7B8B" w14:textId="77777777" w:rsidR="00364FAD" w:rsidRDefault="00364FAD" w:rsidP="004A6D2F">
    <w:pPr>
      <w:pStyle w:val="Footer"/>
    </w:pPr>
    <w:r>
      <w:t>Do not use a footer or page numbers.</w:t>
    </w:r>
  </w:p>
  <w:p w14:paraId="20B2461C" w14:textId="77777777" w:rsidR="00364FAD" w:rsidRDefault="00364FAD" w:rsidP="004A6D2F">
    <w:pPr>
      <w:pStyle w:val="Footer"/>
    </w:pPr>
  </w:p>
  <w:p w14:paraId="72386601" w14:textId="77777777" w:rsidR="00364FAD" w:rsidRDefault="00364FAD" w:rsidP="004A6D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54F4A" w14:textId="77777777" w:rsidR="00CD1CC5" w:rsidRDefault="00CD1CC5" w:rsidP="004A6D2F">
      <w:r>
        <w:separator/>
      </w:r>
    </w:p>
  </w:footnote>
  <w:footnote w:type="continuationSeparator" w:id="0">
    <w:p w14:paraId="66295936" w14:textId="77777777" w:rsidR="00CD1CC5" w:rsidRDefault="00CD1CC5" w:rsidP="004A6D2F">
      <w:r>
        <w:continuationSeparator/>
      </w:r>
    </w:p>
  </w:footnote>
  <w:footnote w:id="1">
    <w:p w14:paraId="72871C7A" w14:textId="708C74B5" w:rsidR="1E0B2025" w:rsidRDefault="1E0B2025" w:rsidP="00CE25DD">
      <w:pPr>
        <w:pStyle w:val="FootnoteText"/>
      </w:pPr>
      <w:r w:rsidRPr="1E0B2025">
        <w:rPr>
          <w:rStyle w:val="FootnoteReference"/>
        </w:rPr>
        <w:footnoteRef/>
      </w:r>
      <w:r>
        <w:t xml:space="preserve"> Trading under OX Place, including </w:t>
      </w:r>
      <w:r w:rsidRPr="1E0B2025">
        <w:t>its subsidiaries Oxford City Housing Investment Limited and Oxford City Housing Development Limited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D1F7F" w14:textId="77777777" w:rsidR="00D5547E" w:rsidRDefault="00C05260" w:rsidP="00D5547E">
    <w:pPr>
      <w:pStyle w:val="Header"/>
      <w:jc w:val="right"/>
    </w:pPr>
    <w:r>
      <w:rPr>
        <w:noProof/>
      </w:rPr>
      <w:drawing>
        <wp:inline distT="0" distB="0" distL="0" distR="0" wp14:anchorId="35341002" wp14:editId="2956E09D">
          <wp:extent cx="838200" cy="1119505"/>
          <wp:effectExtent l="0" t="0" r="0" b="4445"/>
          <wp:docPr id="911999574" name="Picture 911999574" title="Oxford City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cc_b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1119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FDEC5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70EF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B46E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B90A3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3476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0603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C253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CAEA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8815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E431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C30BB"/>
    <w:multiLevelType w:val="multilevel"/>
    <w:tmpl w:val="E67CE66C"/>
    <w:styleLink w:val="StyleNumberedLeft0cmHanging075cm"/>
    <w:lvl w:ilvl="0">
      <w:start w:val="1"/>
      <w:numFmt w:val="decimal"/>
      <w:pStyle w:val="ListParagraph"/>
      <w:lvlText w:val="%1."/>
      <w:lvlJc w:val="left"/>
      <w:pPr>
        <w:ind w:left="4897" w:hanging="360"/>
      </w:pPr>
      <w:rPr>
        <w:rFonts w:ascii="Arial" w:hAnsi="Arial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3CF5C54"/>
    <w:multiLevelType w:val="multilevel"/>
    <w:tmpl w:val="43D6D2FA"/>
    <w:styleLink w:val="StyleBulletedSymbolsymbolLeft063cmHanging063cm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9C05EF"/>
    <w:multiLevelType w:val="multilevel"/>
    <w:tmpl w:val="43D6D2FA"/>
    <w:numStyleLink w:val="StyleBulletedSymbolsymbolLeft063cmHanging063cm"/>
  </w:abstractNum>
  <w:abstractNum w:abstractNumId="13" w15:restartNumberingAfterBreak="0">
    <w:nsid w:val="092922A7"/>
    <w:multiLevelType w:val="hybridMultilevel"/>
    <w:tmpl w:val="2B26D4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D43967"/>
    <w:multiLevelType w:val="hybridMultilevel"/>
    <w:tmpl w:val="C61A54C0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0A731236"/>
    <w:multiLevelType w:val="multilevel"/>
    <w:tmpl w:val="1700ACF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FE3CBC"/>
    <w:multiLevelType w:val="hybridMultilevel"/>
    <w:tmpl w:val="8BD022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980FC5"/>
    <w:multiLevelType w:val="hybridMultilevel"/>
    <w:tmpl w:val="5B36B17E"/>
    <w:lvl w:ilvl="0" w:tplc="AFA25F0A">
      <w:start w:val="1"/>
      <w:numFmt w:val="bullet"/>
      <w:pStyle w:val="Bulletpoints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2263A6A"/>
    <w:multiLevelType w:val="multilevel"/>
    <w:tmpl w:val="43D6D2FA"/>
    <w:numStyleLink w:val="StyleBulletedSymbolsymbolLeft063cmHanging063cm"/>
  </w:abstractNum>
  <w:abstractNum w:abstractNumId="19" w15:restartNumberingAfterBreak="0">
    <w:nsid w:val="2C0A3AC3"/>
    <w:multiLevelType w:val="hybridMultilevel"/>
    <w:tmpl w:val="2B326A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E3586B"/>
    <w:multiLevelType w:val="hybridMultilevel"/>
    <w:tmpl w:val="88CA416C"/>
    <w:lvl w:ilvl="0" w:tplc="0DDAB9E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B0B4923"/>
    <w:multiLevelType w:val="hybridMultilevel"/>
    <w:tmpl w:val="2D8835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343E22"/>
    <w:multiLevelType w:val="hybridMultilevel"/>
    <w:tmpl w:val="3E3ABABA"/>
    <w:lvl w:ilvl="0" w:tplc="081A0C3A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2027960"/>
    <w:multiLevelType w:val="hybridMultilevel"/>
    <w:tmpl w:val="501CC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7F1004"/>
    <w:multiLevelType w:val="hybridMultilevel"/>
    <w:tmpl w:val="4E022B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12530E"/>
    <w:multiLevelType w:val="hybridMultilevel"/>
    <w:tmpl w:val="CEECF38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6764EAF"/>
    <w:multiLevelType w:val="hybridMultilevel"/>
    <w:tmpl w:val="AB625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8F2C59"/>
    <w:multiLevelType w:val="hybridMultilevel"/>
    <w:tmpl w:val="396C5B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565907"/>
    <w:multiLevelType w:val="hybridMultilevel"/>
    <w:tmpl w:val="55949A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ABA5FD8"/>
    <w:multiLevelType w:val="multilevel"/>
    <w:tmpl w:val="43D6D2FA"/>
    <w:numStyleLink w:val="StyleBulletedSymbolsymbolLeft063cmHanging063cm"/>
  </w:abstractNum>
  <w:abstractNum w:abstractNumId="30" w15:restartNumberingAfterBreak="0">
    <w:nsid w:val="5C7E19E2"/>
    <w:multiLevelType w:val="hybridMultilevel"/>
    <w:tmpl w:val="3146A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A22831"/>
    <w:multiLevelType w:val="multilevel"/>
    <w:tmpl w:val="43D6D2FA"/>
    <w:numStyleLink w:val="StyleBulletedSymbolsymbolLeft063cmHanging063cm"/>
  </w:abstractNum>
  <w:abstractNum w:abstractNumId="32" w15:restartNumberingAfterBreak="0">
    <w:nsid w:val="6A9F2B3C"/>
    <w:multiLevelType w:val="multilevel"/>
    <w:tmpl w:val="4C5820D8"/>
    <w:lvl w:ilvl="0">
      <w:start w:val="1"/>
      <w:numFmt w:val="decimal"/>
      <w:pStyle w:val="Numberedlist"/>
      <w:lvlText w:val="%1."/>
      <w:lvlJc w:val="left"/>
      <w:pPr>
        <w:ind w:left="720" w:hanging="360"/>
      </w:pPr>
      <w:rPr>
        <w:rFonts w:ascii="Arial" w:hAnsi="Arial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1550E4"/>
    <w:multiLevelType w:val="hybridMultilevel"/>
    <w:tmpl w:val="DD86F5EA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6539BA"/>
    <w:multiLevelType w:val="hybridMultilevel"/>
    <w:tmpl w:val="C1CC3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D16223"/>
    <w:multiLevelType w:val="hybridMultilevel"/>
    <w:tmpl w:val="E67CE66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8365C6"/>
    <w:multiLevelType w:val="multilevel"/>
    <w:tmpl w:val="E67CE66C"/>
    <w:numStyleLink w:val="StyleNumberedLeft0cmHanging075cm"/>
  </w:abstractNum>
  <w:num w:numId="1" w16cid:durableId="2036299310">
    <w:abstractNumId w:val="28"/>
  </w:num>
  <w:num w:numId="2" w16cid:durableId="643705505">
    <w:abstractNumId w:val="33"/>
  </w:num>
  <w:num w:numId="3" w16cid:durableId="1284848424">
    <w:abstractNumId w:val="25"/>
  </w:num>
  <w:num w:numId="4" w16cid:durableId="578908713">
    <w:abstractNumId w:val="19"/>
  </w:num>
  <w:num w:numId="5" w16cid:durableId="54470100">
    <w:abstractNumId w:val="30"/>
  </w:num>
  <w:num w:numId="6" w16cid:durableId="694158268">
    <w:abstractNumId w:val="35"/>
  </w:num>
  <w:num w:numId="7" w16cid:durableId="647516062">
    <w:abstractNumId w:val="24"/>
  </w:num>
  <w:num w:numId="8" w16cid:durableId="1160539719">
    <w:abstractNumId w:val="21"/>
  </w:num>
  <w:num w:numId="9" w16cid:durableId="1862670074">
    <w:abstractNumId w:val="13"/>
  </w:num>
  <w:num w:numId="10" w16cid:durableId="948585193">
    <w:abstractNumId w:val="16"/>
  </w:num>
  <w:num w:numId="11" w16cid:durableId="718482766">
    <w:abstractNumId w:val="27"/>
  </w:num>
  <w:num w:numId="12" w16cid:durableId="164051272">
    <w:abstractNumId w:val="26"/>
  </w:num>
  <w:num w:numId="13" w16cid:durableId="1450854030">
    <w:abstractNumId w:val="10"/>
  </w:num>
  <w:num w:numId="14" w16cid:durableId="373359476">
    <w:abstractNumId w:val="36"/>
  </w:num>
  <w:num w:numId="15" w16cid:durableId="1009412161">
    <w:abstractNumId w:val="17"/>
  </w:num>
  <w:num w:numId="16" w16cid:durableId="2041280933">
    <w:abstractNumId w:val="11"/>
  </w:num>
  <w:num w:numId="17" w16cid:durableId="471220593">
    <w:abstractNumId w:val="29"/>
  </w:num>
  <w:num w:numId="18" w16cid:durableId="1031035851">
    <w:abstractNumId w:val="12"/>
  </w:num>
  <w:num w:numId="19" w16cid:durableId="1402945545">
    <w:abstractNumId w:val="31"/>
  </w:num>
  <w:num w:numId="20" w16cid:durableId="1667248783">
    <w:abstractNumId w:val="18"/>
  </w:num>
  <w:num w:numId="21" w16cid:durableId="1353453069">
    <w:abstractNumId w:val="22"/>
  </w:num>
  <w:num w:numId="22" w16cid:durableId="592667723">
    <w:abstractNumId w:val="15"/>
  </w:num>
  <w:num w:numId="23" w16cid:durableId="37707020">
    <w:abstractNumId w:val="32"/>
  </w:num>
  <w:num w:numId="24" w16cid:durableId="162087179">
    <w:abstractNumId w:val="9"/>
  </w:num>
  <w:num w:numId="25" w16cid:durableId="1955359617">
    <w:abstractNumId w:val="8"/>
  </w:num>
  <w:num w:numId="26" w16cid:durableId="2025740696">
    <w:abstractNumId w:val="7"/>
  </w:num>
  <w:num w:numId="27" w16cid:durableId="439375354">
    <w:abstractNumId w:val="6"/>
  </w:num>
  <w:num w:numId="28" w16cid:durableId="2034837902">
    <w:abstractNumId w:val="5"/>
  </w:num>
  <w:num w:numId="29" w16cid:durableId="765544091">
    <w:abstractNumId w:val="4"/>
  </w:num>
  <w:num w:numId="30" w16cid:durableId="1249462447">
    <w:abstractNumId w:val="3"/>
  </w:num>
  <w:num w:numId="31" w16cid:durableId="790055611">
    <w:abstractNumId w:val="2"/>
  </w:num>
  <w:num w:numId="32" w16cid:durableId="913585048">
    <w:abstractNumId w:val="1"/>
  </w:num>
  <w:num w:numId="33" w16cid:durableId="1728189480">
    <w:abstractNumId w:val="0"/>
  </w:num>
  <w:num w:numId="34" w16cid:durableId="1370304610">
    <w:abstractNumId w:val="34"/>
  </w:num>
  <w:num w:numId="35" w16cid:durableId="1152941978">
    <w:abstractNumId w:val="20"/>
  </w:num>
  <w:num w:numId="36" w16cid:durableId="2006741231">
    <w:abstractNumId w:val="23"/>
  </w:num>
  <w:num w:numId="37" w16cid:durableId="10204034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16867121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B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edit="trackedChange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B71"/>
    <w:rsid w:val="00002509"/>
    <w:rsid w:val="000117D4"/>
    <w:rsid w:val="000203EA"/>
    <w:rsid w:val="00025250"/>
    <w:rsid w:val="000314D7"/>
    <w:rsid w:val="00034054"/>
    <w:rsid w:val="00045F8B"/>
    <w:rsid w:val="00046D2B"/>
    <w:rsid w:val="00051B08"/>
    <w:rsid w:val="00056263"/>
    <w:rsid w:val="00064D8A"/>
    <w:rsid w:val="00064F82"/>
    <w:rsid w:val="00066510"/>
    <w:rsid w:val="00077523"/>
    <w:rsid w:val="0009743E"/>
    <w:rsid w:val="000B1DFC"/>
    <w:rsid w:val="000B44F0"/>
    <w:rsid w:val="000C089F"/>
    <w:rsid w:val="000C3928"/>
    <w:rsid w:val="000C5E8E"/>
    <w:rsid w:val="000D0C47"/>
    <w:rsid w:val="000F351A"/>
    <w:rsid w:val="000F4751"/>
    <w:rsid w:val="00101ACE"/>
    <w:rsid w:val="0010524C"/>
    <w:rsid w:val="00111FB1"/>
    <w:rsid w:val="00113418"/>
    <w:rsid w:val="001212C2"/>
    <w:rsid w:val="00131496"/>
    <w:rsid w:val="001356F1"/>
    <w:rsid w:val="00136994"/>
    <w:rsid w:val="0014128E"/>
    <w:rsid w:val="00147ED1"/>
    <w:rsid w:val="00151888"/>
    <w:rsid w:val="00154095"/>
    <w:rsid w:val="0015715D"/>
    <w:rsid w:val="00170A2D"/>
    <w:rsid w:val="001808BC"/>
    <w:rsid w:val="00182B81"/>
    <w:rsid w:val="0018619D"/>
    <w:rsid w:val="00187465"/>
    <w:rsid w:val="00193AD9"/>
    <w:rsid w:val="00196B97"/>
    <w:rsid w:val="00197FC0"/>
    <w:rsid w:val="001A011E"/>
    <w:rsid w:val="001A066A"/>
    <w:rsid w:val="001A13E6"/>
    <w:rsid w:val="001A5731"/>
    <w:rsid w:val="001A6C77"/>
    <w:rsid w:val="001B42C3"/>
    <w:rsid w:val="001C2F62"/>
    <w:rsid w:val="001C4DBB"/>
    <w:rsid w:val="001C5D5E"/>
    <w:rsid w:val="001D678D"/>
    <w:rsid w:val="001D6805"/>
    <w:rsid w:val="001D6889"/>
    <w:rsid w:val="001E03F8"/>
    <w:rsid w:val="001E045A"/>
    <w:rsid w:val="001E1678"/>
    <w:rsid w:val="001E3376"/>
    <w:rsid w:val="001F18AB"/>
    <w:rsid w:val="00204657"/>
    <w:rsid w:val="002069B3"/>
    <w:rsid w:val="002312EA"/>
    <w:rsid w:val="002329CF"/>
    <w:rsid w:val="00232F5B"/>
    <w:rsid w:val="002346B1"/>
    <w:rsid w:val="00247C29"/>
    <w:rsid w:val="00260467"/>
    <w:rsid w:val="00263EA3"/>
    <w:rsid w:val="00273D67"/>
    <w:rsid w:val="00283FF3"/>
    <w:rsid w:val="00284F85"/>
    <w:rsid w:val="002870C3"/>
    <w:rsid w:val="00290915"/>
    <w:rsid w:val="00295966"/>
    <w:rsid w:val="002A22E2"/>
    <w:rsid w:val="002A2902"/>
    <w:rsid w:val="002B6836"/>
    <w:rsid w:val="002C64F7"/>
    <w:rsid w:val="002D17E0"/>
    <w:rsid w:val="002D76CA"/>
    <w:rsid w:val="002F292E"/>
    <w:rsid w:val="002F41F2"/>
    <w:rsid w:val="00301BF3"/>
    <w:rsid w:val="0030208D"/>
    <w:rsid w:val="00312FAD"/>
    <w:rsid w:val="0031334D"/>
    <w:rsid w:val="003133F8"/>
    <w:rsid w:val="00316C01"/>
    <w:rsid w:val="003219B4"/>
    <w:rsid w:val="00323418"/>
    <w:rsid w:val="00325C66"/>
    <w:rsid w:val="0033016D"/>
    <w:rsid w:val="00333F10"/>
    <w:rsid w:val="003357BF"/>
    <w:rsid w:val="00336F50"/>
    <w:rsid w:val="00344537"/>
    <w:rsid w:val="00352E6F"/>
    <w:rsid w:val="00364FAD"/>
    <w:rsid w:val="0036738F"/>
    <w:rsid w:val="0036759C"/>
    <w:rsid w:val="00367AE5"/>
    <w:rsid w:val="00367D71"/>
    <w:rsid w:val="00371EBB"/>
    <w:rsid w:val="0038150A"/>
    <w:rsid w:val="00382901"/>
    <w:rsid w:val="00383CEF"/>
    <w:rsid w:val="003B6E75"/>
    <w:rsid w:val="003B7DA1"/>
    <w:rsid w:val="003C2B83"/>
    <w:rsid w:val="003C4C3F"/>
    <w:rsid w:val="003D0379"/>
    <w:rsid w:val="003D11C9"/>
    <w:rsid w:val="003D2574"/>
    <w:rsid w:val="003D4654"/>
    <w:rsid w:val="003D4C59"/>
    <w:rsid w:val="003D77F8"/>
    <w:rsid w:val="003E0229"/>
    <w:rsid w:val="003E034D"/>
    <w:rsid w:val="003F1E54"/>
    <w:rsid w:val="003F2384"/>
    <w:rsid w:val="003F4267"/>
    <w:rsid w:val="004010DE"/>
    <w:rsid w:val="00401881"/>
    <w:rsid w:val="00404032"/>
    <w:rsid w:val="0040736F"/>
    <w:rsid w:val="00410BDC"/>
    <w:rsid w:val="00412C1F"/>
    <w:rsid w:val="00412EF2"/>
    <w:rsid w:val="004210FA"/>
    <w:rsid w:val="00421CB2"/>
    <w:rsid w:val="004268B9"/>
    <w:rsid w:val="00433B96"/>
    <w:rsid w:val="00435545"/>
    <w:rsid w:val="004440F1"/>
    <w:rsid w:val="004456DD"/>
    <w:rsid w:val="00446CDF"/>
    <w:rsid w:val="004521B7"/>
    <w:rsid w:val="004548E0"/>
    <w:rsid w:val="00462AB5"/>
    <w:rsid w:val="00462D22"/>
    <w:rsid w:val="00465EAF"/>
    <w:rsid w:val="004738C5"/>
    <w:rsid w:val="0047737B"/>
    <w:rsid w:val="00491046"/>
    <w:rsid w:val="00496078"/>
    <w:rsid w:val="004A2AC7"/>
    <w:rsid w:val="004A6D2F"/>
    <w:rsid w:val="004A733B"/>
    <w:rsid w:val="004B11AE"/>
    <w:rsid w:val="004B67EC"/>
    <w:rsid w:val="004C2887"/>
    <w:rsid w:val="004D2626"/>
    <w:rsid w:val="004D61B1"/>
    <w:rsid w:val="004D6E26"/>
    <w:rsid w:val="004D77D3"/>
    <w:rsid w:val="004E2959"/>
    <w:rsid w:val="004F0B44"/>
    <w:rsid w:val="004F20EF"/>
    <w:rsid w:val="004F5504"/>
    <w:rsid w:val="0050321C"/>
    <w:rsid w:val="00507ECC"/>
    <w:rsid w:val="0052154D"/>
    <w:rsid w:val="005425E7"/>
    <w:rsid w:val="0054712D"/>
    <w:rsid w:val="00547EF6"/>
    <w:rsid w:val="005570B5"/>
    <w:rsid w:val="00557977"/>
    <w:rsid w:val="00567E18"/>
    <w:rsid w:val="00575F5F"/>
    <w:rsid w:val="00575FD5"/>
    <w:rsid w:val="00581805"/>
    <w:rsid w:val="00585F76"/>
    <w:rsid w:val="00592EED"/>
    <w:rsid w:val="005A34E4"/>
    <w:rsid w:val="005A6610"/>
    <w:rsid w:val="005B0565"/>
    <w:rsid w:val="005B17F2"/>
    <w:rsid w:val="005B7FB0"/>
    <w:rsid w:val="005C35A5"/>
    <w:rsid w:val="005C51DD"/>
    <w:rsid w:val="005C577C"/>
    <w:rsid w:val="005D0621"/>
    <w:rsid w:val="005D1E27"/>
    <w:rsid w:val="005D2A3E"/>
    <w:rsid w:val="005E022E"/>
    <w:rsid w:val="005E5215"/>
    <w:rsid w:val="005F7F7E"/>
    <w:rsid w:val="006063E3"/>
    <w:rsid w:val="00614693"/>
    <w:rsid w:val="0062017F"/>
    <w:rsid w:val="00622595"/>
    <w:rsid w:val="00623C2F"/>
    <w:rsid w:val="00633578"/>
    <w:rsid w:val="00637068"/>
    <w:rsid w:val="006419CA"/>
    <w:rsid w:val="00650811"/>
    <w:rsid w:val="00655339"/>
    <w:rsid w:val="00661D3E"/>
    <w:rsid w:val="0067242D"/>
    <w:rsid w:val="00692627"/>
    <w:rsid w:val="006969E7"/>
    <w:rsid w:val="006A3643"/>
    <w:rsid w:val="006B10C2"/>
    <w:rsid w:val="006C2A29"/>
    <w:rsid w:val="006C554D"/>
    <w:rsid w:val="006C64CF"/>
    <w:rsid w:val="006C688B"/>
    <w:rsid w:val="006D17B1"/>
    <w:rsid w:val="006D4752"/>
    <w:rsid w:val="006D687C"/>
    <w:rsid w:val="006D708A"/>
    <w:rsid w:val="006E14C1"/>
    <w:rsid w:val="006F0292"/>
    <w:rsid w:val="006F27FA"/>
    <w:rsid w:val="006F416B"/>
    <w:rsid w:val="006F519B"/>
    <w:rsid w:val="00702EA4"/>
    <w:rsid w:val="00712D17"/>
    <w:rsid w:val="00713675"/>
    <w:rsid w:val="00715823"/>
    <w:rsid w:val="00715A95"/>
    <w:rsid w:val="00723D87"/>
    <w:rsid w:val="0072449C"/>
    <w:rsid w:val="007253EF"/>
    <w:rsid w:val="00736DA9"/>
    <w:rsid w:val="00737B93"/>
    <w:rsid w:val="007459BD"/>
    <w:rsid w:val="00745BF0"/>
    <w:rsid w:val="00751EA3"/>
    <w:rsid w:val="007615FE"/>
    <w:rsid w:val="0076655C"/>
    <w:rsid w:val="007742DC"/>
    <w:rsid w:val="00791437"/>
    <w:rsid w:val="007B0C2C"/>
    <w:rsid w:val="007B278E"/>
    <w:rsid w:val="007B5CA2"/>
    <w:rsid w:val="007B616C"/>
    <w:rsid w:val="007C2143"/>
    <w:rsid w:val="007C5C23"/>
    <w:rsid w:val="007C60A9"/>
    <w:rsid w:val="007E2A26"/>
    <w:rsid w:val="007F2348"/>
    <w:rsid w:val="007F4757"/>
    <w:rsid w:val="00803F07"/>
    <w:rsid w:val="008040FA"/>
    <w:rsid w:val="0080749A"/>
    <w:rsid w:val="00817B37"/>
    <w:rsid w:val="008211A7"/>
    <w:rsid w:val="00821FB8"/>
    <w:rsid w:val="00822ACD"/>
    <w:rsid w:val="0082686C"/>
    <w:rsid w:val="00855C66"/>
    <w:rsid w:val="00855E7F"/>
    <w:rsid w:val="00861E95"/>
    <w:rsid w:val="00871EE4"/>
    <w:rsid w:val="0088033A"/>
    <w:rsid w:val="00893831"/>
    <w:rsid w:val="008954DF"/>
    <w:rsid w:val="008A131B"/>
    <w:rsid w:val="008A5E81"/>
    <w:rsid w:val="008B293F"/>
    <w:rsid w:val="008B7371"/>
    <w:rsid w:val="008C06CA"/>
    <w:rsid w:val="008D3DDB"/>
    <w:rsid w:val="008E1573"/>
    <w:rsid w:val="008E75BA"/>
    <w:rsid w:val="008F3B04"/>
    <w:rsid w:val="008F573F"/>
    <w:rsid w:val="0090041C"/>
    <w:rsid w:val="009034EC"/>
    <w:rsid w:val="00917984"/>
    <w:rsid w:val="009200AB"/>
    <w:rsid w:val="00922CFC"/>
    <w:rsid w:val="0093067A"/>
    <w:rsid w:val="00941C60"/>
    <w:rsid w:val="00941FD1"/>
    <w:rsid w:val="00950824"/>
    <w:rsid w:val="00955511"/>
    <w:rsid w:val="00966866"/>
    <w:rsid w:val="00966D42"/>
    <w:rsid w:val="00970B9D"/>
    <w:rsid w:val="00971689"/>
    <w:rsid w:val="0097170F"/>
    <w:rsid w:val="00972A32"/>
    <w:rsid w:val="00973E90"/>
    <w:rsid w:val="00974C6C"/>
    <w:rsid w:val="00975B07"/>
    <w:rsid w:val="00980B4A"/>
    <w:rsid w:val="009912C2"/>
    <w:rsid w:val="009B33C3"/>
    <w:rsid w:val="009B3E8A"/>
    <w:rsid w:val="009C00C0"/>
    <w:rsid w:val="009E0649"/>
    <w:rsid w:val="009E30E2"/>
    <w:rsid w:val="009E3D0A"/>
    <w:rsid w:val="009E51FC"/>
    <w:rsid w:val="009F1D28"/>
    <w:rsid w:val="009F7618"/>
    <w:rsid w:val="00A04D23"/>
    <w:rsid w:val="00A06766"/>
    <w:rsid w:val="00A07FD3"/>
    <w:rsid w:val="00A13765"/>
    <w:rsid w:val="00A21B12"/>
    <w:rsid w:val="00A23F80"/>
    <w:rsid w:val="00A46DBA"/>
    <w:rsid w:val="00A46E98"/>
    <w:rsid w:val="00A4735D"/>
    <w:rsid w:val="00A47542"/>
    <w:rsid w:val="00A6352B"/>
    <w:rsid w:val="00A64FF7"/>
    <w:rsid w:val="00A701B5"/>
    <w:rsid w:val="00A714BB"/>
    <w:rsid w:val="00A7663A"/>
    <w:rsid w:val="00A77147"/>
    <w:rsid w:val="00A92D8F"/>
    <w:rsid w:val="00AA0377"/>
    <w:rsid w:val="00AA5565"/>
    <w:rsid w:val="00AB2988"/>
    <w:rsid w:val="00AB5493"/>
    <w:rsid w:val="00AB7999"/>
    <w:rsid w:val="00AC783C"/>
    <w:rsid w:val="00AD3292"/>
    <w:rsid w:val="00AE1684"/>
    <w:rsid w:val="00AE7AF0"/>
    <w:rsid w:val="00B038AB"/>
    <w:rsid w:val="00B31A65"/>
    <w:rsid w:val="00B500CA"/>
    <w:rsid w:val="00B71867"/>
    <w:rsid w:val="00B733FB"/>
    <w:rsid w:val="00B83C24"/>
    <w:rsid w:val="00B86314"/>
    <w:rsid w:val="00BA1C2E"/>
    <w:rsid w:val="00BA37B1"/>
    <w:rsid w:val="00BA6102"/>
    <w:rsid w:val="00BB1813"/>
    <w:rsid w:val="00BC200B"/>
    <w:rsid w:val="00BC42BD"/>
    <w:rsid w:val="00BC4756"/>
    <w:rsid w:val="00BC69A4"/>
    <w:rsid w:val="00BD6181"/>
    <w:rsid w:val="00BE0680"/>
    <w:rsid w:val="00BE305F"/>
    <w:rsid w:val="00BE7BA3"/>
    <w:rsid w:val="00BF2FDB"/>
    <w:rsid w:val="00BF5682"/>
    <w:rsid w:val="00BF7B09"/>
    <w:rsid w:val="00C04ED9"/>
    <w:rsid w:val="00C05260"/>
    <w:rsid w:val="00C076B9"/>
    <w:rsid w:val="00C140B2"/>
    <w:rsid w:val="00C16B47"/>
    <w:rsid w:val="00C20A95"/>
    <w:rsid w:val="00C22B95"/>
    <w:rsid w:val="00C2692F"/>
    <w:rsid w:val="00C3207C"/>
    <w:rsid w:val="00C400E1"/>
    <w:rsid w:val="00C41187"/>
    <w:rsid w:val="00C63C31"/>
    <w:rsid w:val="00C757A0"/>
    <w:rsid w:val="00C760DE"/>
    <w:rsid w:val="00C77471"/>
    <w:rsid w:val="00C82630"/>
    <w:rsid w:val="00C85B4E"/>
    <w:rsid w:val="00C85FF6"/>
    <w:rsid w:val="00C907F7"/>
    <w:rsid w:val="00CA2103"/>
    <w:rsid w:val="00CA2847"/>
    <w:rsid w:val="00CB21E8"/>
    <w:rsid w:val="00CB3444"/>
    <w:rsid w:val="00CB6B99"/>
    <w:rsid w:val="00CD1CC5"/>
    <w:rsid w:val="00CD20C0"/>
    <w:rsid w:val="00CE25DD"/>
    <w:rsid w:val="00CE4C87"/>
    <w:rsid w:val="00CE544A"/>
    <w:rsid w:val="00CF30CD"/>
    <w:rsid w:val="00D021A9"/>
    <w:rsid w:val="00D11DEF"/>
    <w:rsid w:val="00D11E1C"/>
    <w:rsid w:val="00D160B0"/>
    <w:rsid w:val="00D17F94"/>
    <w:rsid w:val="00D223FC"/>
    <w:rsid w:val="00D26D1E"/>
    <w:rsid w:val="00D403B1"/>
    <w:rsid w:val="00D474CF"/>
    <w:rsid w:val="00D51CBD"/>
    <w:rsid w:val="00D5547E"/>
    <w:rsid w:val="00D71B6E"/>
    <w:rsid w:val="00D860E2"/>
    <w:rsid w:val="00D869A1"/>
    <w:rsid w:val="00DA413F"/>
    <w:rsid w:val="00DA4584"/>
    <w:rsid w:val="00DA614B"/>
    <w:rsid w:val="00DA6C27"/>
    <w:rsid w:val="00DB1231"/>
    <w:rsid w:val="00DB54C3"/>
    <w:rsid w:val="00DB5937"/>
    <w:rsid w:val="00DB7AD7"/>
    <w:rsid w:val="00DC3060"/>
    <w:rsid w:val="00DD193B"/>
    <w:rsid w:val="00DD1B01"/>
    <w:rsid w:val="00DE0FB2"/>
    <w:rsid w:val="00DE7E57"/>
    <w:rsid w:val="00DF093E"/>
    <w:rsid w:val="00DF4228"/>
    <w:rsid w:val="00DF6AE1"/>
    <w:rsid w:val="00E01F42"/>
    <w:rsid w:val="00E206D6"/>
    <w:rsid w:val="00E3366E"/>
    <w:rsid w:val="00E3701E"/>
    <w:rsid w:val="00E40736"/>
    <w:rsid w:val="00E45F1D"/>
    <w:rsid w:val="00E47BBE"/>
    <w:rsid w:val="00E52086"/>
    <w:rsid w:val="00E53A14"/>
    <w:rsid w:val="00E543A6"/>
    <w:rsid w:val="00E60479"/>
    <w:rsid w:val="00E61D73"/>
    <w:rsid w:val="00E703DF"/>
    <w:rsid w:val="00E733F4"/>
    <w:rsid w:val="00E73684"/>
    <w:rsid w:val="00E73A37"/>
    <w:rsid w:val="00E74F57"/>
    <w:rsid w:val="00E755A1"/>
    <w:rsid w:val="00E818D6"/>
    <w:rsid w:val="00E87F7A"/>
    <w:rsid w:val="00E94B3E"/>
    <w:rsid w:val="00E96BD7"/>
    <w:rsid w:val="00EA0DB1"/>
    <w:rsid w:val="00EA0EE9"/>
    <w:rsid w:val="00EA6335"/>
    <w:rsid w:val="00EB69BA"/>
    <w:rsid w:val="00EB71F7"/>
    <w:rsid w:val="00EC04AC"/>
    <w:rsid w:val="00ED52CA"/>
    <w:rsid w:val="00ED5860"/>
    <w:rsid w:val="00EE35C9"/>
    <w:rsid w:val="00F05ECA"/>
    <w:rsid w:val="00F06E9A"/>
    <w:rsid w:val="00F26E21"/>
    <w:rsid w:val="00F31D23"/>
    <w:rsid w:val="00F3566E"/>
    <w:rsid w:val="00F375FB"/>
    <w:rsid w:val="00F41AC1"/>
    <w:rsid w:val="00F433C4"/>
    <w:rsid w:val="00F4367A"/>
    <w:rsid w:val="00F445B1"/>
    <w:rsid w:val="00F45CD4"/>
    <w:rsid w:val="00F6048F"/>
    <w:rsid w:val="00F66DCA"/>
    <w:rsid w:val="00F74357"/>
    <w:rsid w:val="00F74F53"/>
    <w:rsid w:val="00F7606D"/>
    <w:rsid w:val="00F81670"/>
    <w:rsid w:val="00F82024"/>
    <w:rsid w:val="00F83E67"/>
    <w:rsid w:val="00F865A3"/>
    <w:rsid w:val="00F873B9"/>
    <w:rsid w:val="00F90D81"/>
    <w:rsid w:val="00F95BC9"/>
    <w:rsid w:val="00FA3A9E"/>
    <w:rsid w:val="00FA624C"/>
    <w:rsid w:val="00FB3B71"/>
    <w:rsid w:val="00FB501F"/>
    <w:rsid w:val="00FC51AC"/>
    <w:rsid w:val="00FC6F43"/>
    <w:rsid w:val="00FD0FAC"/>
    <w:rsid w:val="00FD10D6"/>
    <w:rsid w:val="00FD1DFA"/>
    <w:rsid w:val="00FD4966"/>
    <w:rsid w:val="00FE57DC"/>
    <w:rsid w:val="00FE5EC1"/>
    <w:rsid w:val="00FF095A"/>
    <w:rsid w:val="05B94C3D"/>
    <w:rsid w:val="06E52008"/>
    <w:rsid w:val="07D434D5"/>
    <w:rsid w:val="07DE89E4"/>
    <w:rsid w:val="0AEAD29A"/>
    <w:rsid w:val="0B3F5CDD"/>
    <w:rsid w:val="0B89A7FD"/>
    <w:rsid w:val="0E137018"/>
    <w:rsid w:val="0ECD8498"/>
    <w:rsid w:val="0FB9297F"/>
    <w:rsid w:val="11DE2519"/>
    <w:rsid w:val="150E6135"/>
    <w:rsid w:val="16C788FA"/>
    <w:rsid w:val="187CEEE6"/>
    <w:rsid w:val="18B12936"/>
    <w:rsid w:val="1A2DC745"/>
    <w:rsid w:val="1AC2D989"/>
    <w:rsid w:val="1BC0B843"/>
    <w:rsid w:val="1BDE6ACD"/>
    <w:rsid w:val="1C62DB68"/>
    <w:rsid w:val="1E0A9772"/>
    <w:rsid w:val="1E0B2025"/>
    <w:rsid w:val="1E2AA5CE"/>
    <w:rsid w:val="1E3BC2CA"/>
    <w:rsid w:val="1EFE63EC"/>
    <w:rsid w:val="22C27749"/>
    <w:rsid w:val="22F0553C"/>
    <w:rsid w:val="238A6E87"/>
    <w:rsid w:val="24AA93AA"/>
    <w:rsid w:val="24D09964"/>
    <w:rsid w:val="25C8DF4C"/>
    <w:rsid w:val="27395084"/>
    <w:rsid w:val="278ACBEA"/>
    <w:rsid w:val="282C914F"/>
    <w:rsid w:val="2875A525"/>
    <w:rsid w:val="29894939"/>
    <w:rsid w:val="2B626F37"/>
    <w:rsid w:val="2B7F3AEB"/>
    <w:rsid w:val="2DC2B855"/>
    <w:rsid w:val="2F91E25D"/>
    <w:rsid w:val="2FD107FE"/>
    <w:rsid w:val="33216B2F"/>
    <w:rsid w:val="3323D874"/>
    <w:rsid w:val="33C8C2FF"/>
    <w:rsid w:val="34C5ADE6"/>
    <w:rsid w:val="34ECE2A5"/>
    <w:rsid w:val="35E68B5F"/>
    <w:rsid w:val="3742E73C"/>
    <w:rsid w:val="38C4BD77"/>
    <w:rsid w:val="3A028991"/>
    <w:rsid w:val="3A1580BC"/>
    <w:rsid w:val="3BB43EC8"/>
    <w:rsid w:val="3C9559B9"/>
    <w:rsid w:val="3CA5522E"/>
    <w:rsid w:val="3D75EE1D"/>
    <w:rsid w:val="40220777"/>
    <w:rsid w:val="40ED7A8B"/>
    <w:rsid w:val="4165F553"/>
    <w:rsid w:val="431C3BF6"/>
    <w:rsid w:val="43F42839"/>
    <w:rsid w:val="443C0EA0"/>
    <w:rsid w:val="459C7F00"/>
    <w:rsid w:val="47265693"/>
    <w:rsid w:val="496D94A2"/>
    <w:rsid w:val="4DC9FD09"/>
    <w:rsid w:val="4DF06A9C"/>
    <w:rsid w:val="4EAEA5C0"/>
    <w:rsid w:val="51049B70"/>
    <w:rsid w:val="52141FE7"/>
    <w:rsid w:val="521F8851"/>
    <w:rsid w:val="530E7F80"/>
    <w:rsid w:val="53124442"/>
    <w:rsid w:val="54BD7E5A"/>
    <w:rsid w:val="562DCFA1"/>
    <w:rsid w:val="56BABF5D"/>
    <w:rsid w:val="571C62E4"/>
    <w:rsid w:val="58C16BAB"/>
    <w:rsid w:val="5BA56319"/>
    <w:rsid w:val="5C2301F2"/>
    <w:rsid w:val="5CD2A867"/>
    <w:rsid w:val="5D0EC0A9"/>
    <w:rsid w:val="5D6EE46E"/>
    <w:rsid w:val="5DE62121"/>
    <w:rsid w:val="5F5A5137"/>
    <w:rsid w:val="60B35EF8"/>
    <w:rsid w:val="61345714"/>
    <w:rsid w:val="613D2893"/>
    <w:rsid w:val="622FE685"/>
    <w:rsid w:val="62B73EE3"/>
    <w:rsid w:val="630B8B08"/>
    <w:rsid w:val="636BDC7A"/>
    <w:rsid w:val="67D8C01A"/>
    <w:rsid w:val="6BFBC2A1"/>
    <w:rsid w:val="6D3A9980"/>
    <w:rsid w:val="6D5487E5"/>
    <w:rsid w:val="6DCC7089"/>
    <w:rsid w:val="6E5052CC"/>
    <w:rsid w:val="6ECA3545"/>
    <w:rsid w:val="709FCC63"/>
    <w:rsid w:val="70F8304B"/>
    <w:rsid w:val="717DCE89"/>
    <w:rsid w:val="71B77E2F"/>
    <w:rsid w:val="7276546A"/>
    <w:rsid w:val="75E01BB2"/>
    <w:rsid w:val="76D8CABF"/>
    <w:rsid w:val="77BEEA55"/>
    <w:rsid w:val="78D6A7E8"/>
    <w:rsid w:val="7C5D4C79"/>
    <w:rsid w:val="7F3A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7421A9"/>
  <w15:docId w15:val="{FB79D5C8-5F7D-485F-8492-0F52CDF79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5F76"/>
    <w:pPr>
      <w:spacing w:after="120"/>
    </w:pPr>
    <w:rPr>
      <w:color w:val="000000"/>
      <w:sz w:val="24"/>
      <w:szCs w:val="24"/>
    </w:rPr>
  </w:style>
  <w:style w:type="paragraph" w:styleId="Heading1">
    <w:name w:val="heading 1"/>
    <w:aliases w:val="aHeading"/>
    <w:basedOn w:val="Normal"/>
    <w:next w:val="Normal"/>
    <w:link w:val="Heading1Char"/>
    <w:qFormat/>
    <w:rsid w:val="002B6836"/>
    <w:pPr>
      <w:spacing w:before="240"/>
      <w:outlineLvl w:val="0"/>
    </w:pPr>
    <w:rPr>
      <w:b/>
    </w:rPr>
  </w:style>
  <w:style w:type="paragraph" w:styleId="Heading2">
    <w:name w:val="heading 2"/>
    <w:aliases w:val="Sub-heading"/>
    <w:basedOn w:val="Normal"/>
    <w:next w:val="Normal"/>
    <w:qFormat/>
    <w:rsid w:val="00F26E21"/>
    <w:pPr>
      <w:spacing w:before="120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A6D2F"/>
    <w:pPr>
      <w:tabs>
        <w:tab w:val="center" w:pos="4153"/>
        <w:tab w:val="right" w:pos="8306"/>
      </w:tabs>
    </w:pPr>
    <w:rPr>
      <w:sz w:val="18"/>
    </w:rPr>
  </w:style>
  <w:style w:type="paragraph" w:styleId="Footer">
    <w:name w:val="footer"/>
    <w:aliases w:val="zzFooter"/>
    <w:basedOn w:val="Normal"/>
    <w:link w:val="FooterChar"/>
    <w:uiPriority w:val="99"/>
    <w:rsid w:val="004A6D2F"/>
    <w:pPr>
      <w:tabs>
        <w:tab w:val="center" w:pos="4153"/>
        <w:tab w:val="right" w:pos="8306"/>
      </w:tabs>
    </w:pPr>
    <w:rPr>
      <w:sz w:val="18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numbering" w:customStyle="1" w:styleId="StyleBulletedSymbolsymbolLeft063cmHanging063cm">
    <w:name w:val="Style Bulleted Symbol (symbol) Left:  0.63 cm Hanging:  0.63 cm"/>
    <w:basedOn w:val="NoList"/>
    <w:rsid w:val="00E818D6"/>
    <w:pPr>
      <w:numPr>
        <w:numId w:val="16"/>
      </w:numPr>
    </w:pPr>
  </w:style>
  <w:style w:type="character" w:styleId="PageNumber">
    <w:name w:val="page number"/>
    <w:rsid w:val="004A6D2F"/>
    <w:rPr>
      <w:rFonts w:ascii="Arial" w:hAnsi="Arial"/>
      <w:sz w:val="18"/>
    </w:rPr>
  </w:style>
  <w:style w:type="character" w:styleId="Hyperlink">
    <w:name w:val="Hyperlink"/>
    <w:aliases w:val="set Hyperlink"/>
    <w:qFormat/>
    <w:rsid w:val="003D2574"/>
    <w:rPr>
      <w:rFonts w:ascii="Arial" w:hAnsi="Arial"/>
      <w:color w:val="0000FF"/>
      <w:sz w:val="24"/>
      <w:u w:val="single"/>
    </w:rPr>
  </w:style>
  <w:style w:type="table" w:styleId="TableGrid">
    <w:name w:val="Table Grid"/>
    <w:basedOn w:val="TableNormal"/>
    <w:rsid w:val="001A0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rsid w:val="00E96BD7"/>
    <w:pPr>
      <w:spacing w:after="120"/>
    </w:pPr>
    <w:rPr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570B5"/>
    <w:pPr>
      <w:numPr>
        <w:numId w:val="14"/>
      </w:numPr>
      <w:tabs>
        <w:tab w:val="left" w:pos="426"/>
      </w:tabs>
    </w:pPr>
  </w:style>
  <w:style w:type="character" w:customStyle="1" w:styleId="HeaderChar">
    <w:name w:val="Header Char"/>
    <w:link w:val="Header"/>
    <w:uiPriority w:val="99"/>
    <w:rsid w:val="004A6D2F"/>
    <w:rPr>
      <w:rFonts w:ascii="Arial" w:hAnsi="Arial"/>
      <w:bCs/>
      <w:color w:val="000000"/>
      <w:sz w:val="18"/>
      <w:szCs w:val="24"/>
      <w:lang w:eastAsia="en-US"/>
    </w:rPr>
  </w:style>
  <w:style w:type="table" w:styleId="LightList-Accent2">
    <w:name w:val="Light List Accent 2"/>
    <w:basedOn w:val="TableNormal"/>
    <w:uiPriority w:val="61"/>
    <w:rsid w:val="00421CB2"/>
    <w:rPr>
      <w:rFonts w:eastAsia="Calibri" w:cs="Arial"/>
      <w:sz w:val="24"/>
      <w:szCs w:val="24"/>
      <w:lang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Shading-Accent2">
    <w:name w:val="Light Shading Accent 2"/>
    <w:basedOn w:val="TableNormal"/>
    <w:uiPriority w:val="60"/>
    <w:rsid w:val="00CB6B99"/>
    <w:rPr>
      <w:rFonts w:eastAsia="Calibri" w:cs="Arial"/>
      <w:color w:val="943634"/>
      <w:sz w:val="24"/>
      <w:szCs w:val="24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Revision">
    <w:name w:val="Revision"/>
    <w:hidden/>
    <w:uiPriority w:val="99"/>
    <w:semiHidden/>
    <w:rsid w:val="009034EC"/>
    <w:pPr>
      <w:spacing w:after="120"/>
    </w:pPr>
    <w:rPr>
      <w:color w:val="000000"/>
      <w:sz w:val="24"/>
      <w:szCs w:val="24"/>
      <w:lang w:eastAsia="en-US"/>
    </w:rPr>
  </w:style>
  <w:style w:type="paragraph" w:customStyle="1" w:styleId="Tableandfigurecaption">
    <w:name w:val="Table and figure caption"/>
    <w:basedOn w:val="Heading2"/>
    <w:rsid w:val="00692627"/>
    <w:pPr>
      <w:ind w:left="360"/>
    </w:pPr>
    <w:rPr>
      <w:bCs/>
      <w:szCs w:val="20"/>
    </w:rPr>
  </w:style>
  <w:style w:type="numbering" w:customStyle="1" w:styleId="StyleNumberedLeft0cmHanging075cm">
    <w:name w:val="Style Numbered Left:  0 cm Hanging:  0.75 cm"/>
    <w:basedOn w:val="NoList"/>
    <w:rsid w:val="00E818D6"/>
    <w:pPr>
      <w:numPr>
        <w:numId w:val="13"/>
      </w:numPr>
    </w:pPr>
  </w:style>
  <w:style w:type="paragraph" w:customStyle="1" w:styleId="Bulletpoints">
    <w:name w:val="Bullet points"/>
    <w:basedOn w:val="Normal"/>
    <w:link w:val="BulletpointsChar"/>
    <w:qFormat/>
    <w:rsid w:val="005570B5"/>
    <w:pPr>
      <w:numPr>
        <w:numId w:val="15"/>
      </w:numPr>
      <w:tabs>
        <w:tab w:val="left" w:pos="993"/>
      </w:tabs>
      <w:ind w:left="993" w:hanging="425"/>
    </w:pPr>
  </w:style>
  <w:style w:type="paragraph" w:styleId="Quote">
    <w:name w:val="Quote"/>
    <w:basedOn w:val="Normal"/>
    <w:next w:val="Normal"/>
    <w:link w:val="QuoteChar"/>
    <w:uiPriority w:val="29"/>
    <w:qFormat/>
    <w:rsid w:val="004A6D2F"/>
    <w:rPr>
      <w:i/>
      <w:iCs/>
    </w:rPr>
  </w:style>
  <w:style w:type="character" w:customStyle="1" w:styleId="BulletpointsChar">
    <w:name w:val="Bullet points Char"/>
    <w:link w:val="Bulletpoints"/>
    <w:rsid w:val="005570B5"/>
    <w:rPr>
      <w:color w:val="000000"/>
      <w:sz w:val="24"/>
      <w:szCs w:val="24"/>
    </w:rPr>
  </w:style>
  <w:style w:type="character" w:customStyle="1" w:styleId="QuoteChar">
    <w:name w:val="Quote Char"/>
    <w:link w:val="Quote"/>
    <w:uiPriority w:val="29"/>
    <w:rsid w:val="004A6D2F"/>
    <w:rPr>
      <w:rFonts w:ascii="Arial" w:hAnsi="Arial"/>
      <w:i/>
      <w:iCs/>
      <w:color w:val="000000"/>
      <w:sz w:val="24"/>
      <w:szCs w:val="24"/>
      <w:lang w:eastAsia="en-US"/>
    </w:rPr>
  </w:style>
  <w:style w:type="character" w:customStyle="1" w:styleId="FooterChar">
    <w:name w:val="Footer Char"/>
    <w:aliases w:val="zzFooter Char"/>
    <w:link w:val="Footer"/>
    <w:uiPriority w:val="99"/>
    <w:rsid w:val="004B11AE"/>
    <w:rPr>
      <w:color w:val="000000"/>
      <w:sz w:val="18"/>
      <w:szCs w:val="24"/>
    </w:rPr>
  </w:style>
  <w:style w:type="character" w:customStyle="1" w:styleId="Firstpagetablebold">
    <w:name w:val="First page table: bold"/>
    <w:qFormat/>
    <w:rsid w:val="005D1E27"/>
    <w:rPr>
      <w:rFonts w:ascii="Arial" w:hAnsi="Arial"/>
      <w:b/>
      <w:sz w:val="24"/>
    </w:rPr>
  </w:style>
  <w:style w:type="paragraph" w:customStyle="1" w:styleId="bParagraphtext">
    <w:name w:val="bParagraph text"/>
    <w:basedOn w:val="ListParagraph"/>
    <w:link w:val="bParagraphtextChar"/>
    <w:qFormat/>
    <w:rsid w:val="004268B9"/>
  </w:style>
  <w:style w:type="paragraph" w:styleId="Caption">
    <w:name w:val="caption"/>
    <w:basedOn w:val="Normal"/>
    <w:next w:val="Normal"/>
    <w:unhideWhenUsed/>
    <w:qFormat/>
    <w:rsid w:val="0093067A"/>
    <w:pPr>
      <w:spacing w:before="120"/>
      <w:jc w:val="center"/>
    </w:pPr>
    <w:rPr>
      <w:b/>
      <w:bCs/>
      <w:sz w:val="20"/>
      <w:szCs w:val="20"/>
    </w:rPr>
  </w:style>
  <w:style w:type="character" w:customStyle="1" w:styleId="ListParagraphChar">
    <w:name w:val="List Paragraph Char"/>
    <w:link w:val="ListParagraph"/>
    <w:uiPriority w:val="34"/>
    <w:rsid w:val="005570B5"/>
    <w:rPr>
      <w:color w:val="000000"/>
      <w:sz w:val="24"/>
      <w:szCs w:val="24"/>
    </w:rPr>
  </w:style>
  <w:style w:type="character" w:customStyle="1" w:styleId="bParagraphtextChar">
    <w:name w:val="bParagraph text Char"/>
    <w:link w:val="bParagraphtext"/>
    <w:rsid w:val="005570B5"/>
    <w:rPr>
      <w:color w:val="000000"/>
      <w:sz w:val="24"/>
      <w:szCs w:val="24"/>
    </w:rPr>
  </w:style>
  <w:style w:type="paragraph" w:customStyle="1" w:styleId="Numberedlist">
    <w:name w:val="Numbered list"/>
    <w:basedOn w:val="Bulletpoints"/>
    <w:link w:val="NumberedlistChar"/>
    <w:qFormat/>
    <w:rsid w:val="004738C5"/>
    <w:pPr>
      <w:numPr>
        <w:numId w:val="23"/>
      </w:numPr>
      <w:ind w:left="993" w:hanging="426"/>
    </w:pPr>
  </w:style>
  <w:style w:type="character" w:customStyle="1" w:styleId="Heading1Char">
    <w:name w:val="Heading 1 Char"/>
    <w:aliases w:val="aHeading Char"/>
    <w:link w:val="Heading1"/>
    <w:rsid w:val="002B6836"/>
    <w:rPr>
      <w:b/>
      <w:color w:val="000000"/>
      <w:sz w:val="24"/>
      <w:szCs w:val="24"/>
    </w:rPr>
  </w:style>
  <w:style w:type="paragraph" w:styleId="TOAHeading">
    <w:name w:val="toa heading"/>
    <w:basedOn w:val="Normal"/>
    <w:next w:val="Normal"/>
    <w:rsid w:val="005570B5"/>
    <w:pPr>
      <w:spacing w:before="120"/>
    </w:pPr>
    <w:rPr>
      <w:rFonts w:ascii="Cambria" w:hAnsi="Cambria"/>
      <w:b/>
      <w:bCs/>
    </w:rPr>
  </w:style>
  <w:style w:type="character" w:customStyle="1" w:styleId="NumberedlistChar">
    <w:name w:val="Numbered list Char"/>
    <w:link w:val="Numberedlist"/>
    <w:rsid w:val="004738C5"/>
    <w:rPr>
      <w:color w:val="000000"/>
      <w:sz w:val="24"/>
      <w:szCs w:val="24"/>
    </w:rPr>
  </w:style>
  <w:style w:type="table" w:styleId="TableColumns1">
    <w:name w:val="Table Columns 1"/>
    <w:basedOn w:val="TableNormal"/>
    <w:rsid w:val="00507ECC"/>
    <w:pPr>
      <w:spacing w:after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07ECC"/>
    <w:pPr>
      <w:spacing w:after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07ECC"/>
    <w:pPr>
      <w:spacing w:after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List-Accent1">
    <w:name w:val="Light List Accent 1"/>
    <w:basedOn w:val="TableNormal"/>
    <w:uiPriority w:val="61"/>
    <w:rsid w:val="00507EC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A46DBA"/>
    <w:rPr>
      <w:color w:val="605E5C"/>
      <w:shd w:val="clear" w:color="auto" w:fill="E1DFDD"/>
    </w:rPr>
  </w:style>
  <w:style w:type="paragraph" w:styleId="FootnoteText">
    <w:name w:val="footnote text"/>
    <w:basedOn w:val="Normal"/>
    <w:uiPriority w:val="99"/>
    <w:semiHidden/>
    <w:unhideWhenUsed/>
    <w:rsid w:val="1E0B2025"/>
    <w:pPr>
      <w:spacing w:after="0"/>
    </w:pPr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reyeslao@oxford.gov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70084659A8C14A869EF91DDC71B369" ma:contentTypeVersion="4" ma:contentTypeDescription="Create a new document." ma:contentTypeScope="" ma:versionID="1bef9870b4cf41f2705c813fc741edcd">
  <xsd:schema xmlns:xsd="http://www.w3.org/2001/XMLSchema" xmlns:xs="http://www.w3.org/2001/XMLSchema" xmlns:p="http://schemas.microsoft.com/office/2006/metadata/properties" xmlns:ns2="ac7a786f-a2c7-4d9b-96a8-3d484e57d929" targetNamespace="http://schemas.microsoft.com/office/2006/metadata/properties" ma:root="true" ma:fieldsID="79fddb1682badac180f0e3c21b57d876" ns2:_="">
    <xsd:import namespace="ac7a786f-a2c7-4d9b-96a8-3d484e57d9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a786f-a2c7-4d9b-96a8-3d484e57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6AB859-1359-4A59-AAB8-A2A5B8A58C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28E232-602D-4C08-8D66-0392B23DEF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7a786f-a2c7-4d9b-96a8-3d484e57d9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302B15-B981-4809-B525-C3BA22C5FE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81BCFD2-81E2-4427-86F5-27E3506938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932</Words>
  <Characters>5199</Characters>
  <Application>Microsoft Office Word</Application>
  <DocSecurity>0</DocSecurity>
  <Lines>43</Lines>
  <Paragraphs>12</Paragraphs>
  <ScaleCrop>false</ScaleCrop>
  <Company>Oxford City Council</Company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OxCityCouncil Cabinet report</dc:title>
  <dc:subject/>
  <dc:creator>jmitchell</dc:creator>
  <cp:keywords>OxCityCouncil Report</cp:keywords>
  <cp:lastModifiedBy>REYESLAO Celeste</cp:lastModifiedBy>
  <cp:revision>172</cp:revision>
  <cp:lastPrinted>2015-07-03T13:50:00Z</cp:lastPrinted>
  <dcterms:created xsi:type="dcterms:W3CDTF">2024-12-10T08:38:00Z</dcterms:created>
  <dcterms:modified xsi:type="dcterms:W3CDTF">2025-09-01T15:20:00Z</dcterms:modified>
  <cp:category>Report to Council or Committee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0x010100A470084659A8C14A869EF91DDC71B369</vt:lpwstr>
  </property>
</Properties>
</file>